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11FC" w14:textId="77777777" w:rsidR="00502B58" w:rsidRDefault="00502B58" w:rsidP="00502B58">
      <w:pPr>
        <w:pStyle w:val="Heading1"/>
        <w:rPr>
          <w:b w:val="0"/>
          <w:bCs w:val="0"/>
          <w:color w:val="009999"/>
          <w:sz w:val="24"/>
          <w:szCs w:val="24"/>
          <w:lang w:val="en-US"/>
        </w:rPr>
      </w:pPr>
      <w:r>
        <w:rPr>
          <w:noProof/>
        </w:rPr>
        <w:drawing>
          <wp:anchor distT="0" distB="0" distL="114300" distR="114300" simplePos="0" relativeHeight="251659264" behindDoc="0" locked="0" layoutInCell="1" allowOverlap="1" wp14:anchorId="65518E00" wp14:editId="04C18E6A">
            <wp:simplePos x="0" y="0"/>
            <wp:positionH relativeFrom="margin">
              <wp:posOffset>-19875</wp:posOffset>
            </wp:positionH>
            <wp:positionV relativeFrom="paragraph">
              <wp:posOffset>-344384</wp:posOffset>
            </wp:positionV>
            <wp:extent cx="104775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p>
    <w:p w14:paraId="7D47B4A8" w14:textId="5ADF0C55" w:rsidR="00502B58" w:rsidRPr="009153EE" w:rsidRDefault="00502B58" w:rsidP="00502B58">
      <w:pPr>
        <w:jc w:val="center"/>
        <w:rPr>
          <w:b/>
          <w:bCs/>
          <w:color w:val="009999"/>
          <w:sz w:val="24"/>
          <w:szCs w:val="24"/>
          <w:lang w:val="en-US"/>
        </w:rPr>
      </w:pPr>
      <w:r>
        <w:rPr>
          <w:b/>
          <w:bCs/>
          <w:color w:val="009999"/>
          <w:sz w:val="24"/>
          <w:szCs w:val="24"/>
          <w:lang w:val="en-US"/>
        </w:rPr>
        <w:t>Oral Closing Submission</w:t>
      </w:r>
    </w:p>
    <w:p w14:paraId="42EA8625" w14:textId="77777777" w:rsidR="00502B58" w:rsidRPr="009153EE" w:rsidRDefault="00502B58" w:rsidP="00502B58">
      <w:pPr>
        <w:jc w:val="center"/>
        <w:rPr>
          <w:b/>
          <w:bCs/>
          <w:color w:val="009999"/>
          <w:sz w:val="24"/>
          <w:szCs w:val="24"/>
          <w:lang w:val="en-US"/>
        </w:rPr>
      </w:pPr>
      <w:r>
        <w:rPr>
          <w:b/>
          <w:bCs/>
          <w:color w:val="009999"/>
          <w:sz w:val="24"/>
          <w:szCs w:val="24"/>
          <w:lang w:val="en-US"/>
        </w:rPr>
        <w:t>o</w:t>
      </w:r>
      <w:r w:rsidRPr="009153EE">
        <w:rPr>
          <w:b/>
          <w:bCs/>
          <w:color w:val="009999"/>
          <w:sz w:val="24"/>
          <w:szCs w:val="24"/>
          <w:lang w:val="en-US"/>
        </w:rPr>
        <w:t>n behalf of</w:t>
      </w:r>
      <w:r>
        <w:rPr>
          <w:b/>
          <w:bCs/>
          <w:color w:val="009999"/>
          <w:sz w:val="24"/>
          <w:szCs w:val="24"/>
          <w:lang w:val="en-US"/>
        </w:rPr>
        <w:t xml:space="preserve"> T</w:t>
      </w:r>
      <w:r w:rsidRPr="009153EE">
        <w:rPr>
          <w:b/>
          <w:bCs/>
          <w:color w:val="009999"/>
          <w:sz w:val="24"/>
          <w:szCs w:val="24"/>
          <w:lang w:val="en-US"/>
        </w:rPr>
        <w:t>he</w:t>
      </w:r>
      <w:r>
        <w:rPr>
          <w:b/>
          <w:bCs/>
          <w:color w:val="009999"/>
          <w:sz w:val="24"/>
          <w:szCs w:val="24"/>
          <w:lang w:val="en-US"/>
        </w:rPr>
        <w:t xml:space="preserve"> National </w:t>
      </w:r>
      <w:r w:rsidRPr="009153EE">
        <w:rPr>
          <w:b/>
          <w:bCs/>
          <w:color w:val="009999"/>
          <w:sz w:val="24"/>
          <w:szCs w:val="24"/>
          <w:lang w:val="en-US"/>
        </w:rPr>
        <w:t>Federation of Sub-Postmasters</w:t>
      </w:r>
    </w:p>
    <w:p w14:paraId="3A290FAF" w14:textId="4B95FBD1" w:rsidR="00502B58" w:rsidRDefault="00502B58" w:rsidP="00502B58">
      <w:pPr>
        <w:jc w:val="center"/>
        <w:rPr>
          <w:b/>
          <w:bCs/>
          <w:color w:val="009999"/>
          <w:sz w:val="24"/>
          <w:szCs w:val="24"/>
          <w:lang w:val="en-US"/>
        </w:rPr>
      </w:pPr>
      <w:r w:rsidRPr="009153EE">
        <w:rPr>
          <w:b/>
          <w:bCs/>
          <w:color w:val="009999"/>
          <w:sz w:val="24"/>
          <w:szCs w:val="24"/>
          <w:lang w:val="en-US"/>
        </w:rPr>
        <w:t>in</w:t>
      </w:r>
      <w:r>
        <w:rPr>
          <w:b/>
          <w:bCs/>
          <w:color w:val="009999"/>
          <w:sz w:val="24"/>
          <w:szCs w:val="24"/>
          <w:lang w:val="en-US"/>
        </w:rPr>
        <w:t xml:space="preserve"> Phase 4 </w:t>
      </w:r>
    </w:p>
    <w:p w14:paraId="544B8909" w14:textId="77777777" w:rsidR="00502B58" w:rsidRPr="009153EE" w:rsidRDefault="00502B58" w:rsidP="00502B58">
      <w:pPr>
        <w:jc w:val="center"/>
        <w:rPr>
          <w:b/>
          <w:bCs/>
          <w:color w:val="009999"/>
          <w:sz w:val="24"/>
          <w:szCs w:val="24"/>
          <w:lang w:val="en-US"/>
        </w:rPr>
      </w:pPr>
      <w:r>
        <w:rPr>
          <w:b/>
          <w:bCs/>
          <w:color w:val="009999"/>
          <w:sz w:val="24"/>
          <w:szCs w:val="24"/>
          <w:lang w:val="en-US"/>
        </w:rPr>
        <w:t>of</w:t>
      </w:r>
      <w:r w:rsidRPr="009153EE">
        <w:rPr>
          <w:b/>
          <w:bCs/>
          <w:color w:val="009999"/>
          <w:sz w:val="24"/>
          <w:szCs w:val="24"/>
          <w:lang w:val="en-US"/>
        </w:rPr>
        <w:t xml:space="preserve"> the</w:t>
      </w:r>
      <w:r>
        <w:rPr>
          <w:b/>
          <w:bCs/>
          <w:color w:val="009999"/>
          <w:sz w:val="24"/>
          <w:szCs w:val="24"/>
          <w:lang w:val="en-US"/>
        </w:rPr>
        <w:t xml:space="preserve"> </w:t>
      </w:r>
      <w:r w:rsidRPr="009153EE">
        <w:rPr>
          <w:b/>
          <w:bCs/>
          <w:color w:val="009999"/>
          <w:sz w:val="24"/>
          <w:szCs w:val="24"/>
          <w:lang w:val="en-US"/>
        </w:rPr>
        <w:t>Post Office Horizon IT Public Inquiry</w:t>
      </w:r>
    </w:p>
    <w:p w14:paraId="70D4FDA7" w14:textId="77777777" w:rsidR="00502B58" w:rsidRPr="009153EE" w:rsidRDefault="00502B58" w:rsidP="00502B58">
      <w:pPr>
        <w:jc w:val="center"/>
        <w:rPr>
          <w:b/>
          <w:bCs/>
          <w:color w:val="009999"/>
          <w:sz w:val="24"/>
          <w:szCs w:val="24"/>
          <w:lang w:val="en-US"/>
        </w:rPr>
      </w:pPr>
      <w:r w:rsidRPr="009153EE">
        <w:rPr>
          <w:b/>
          <w:bCs/>
          <w:color w:val="009999"/>
          <w:sz w:val="24"/>
          <w:szCs w:val="24"/>
          <w:lang w:val="en-US"/>
        </w:rPr>
        <w:t>Chaired by Sir Wyn Williams</w:t>
      </w:r>
    </w:p>
    <w:p w14:paraId="3613D246" w14:textId="77777777" w:rsidR="00502B58" w:rsidRDefault="00502B58" w:rsidP="00502B58">
      <w:pPr>
        <w:jc w:val="center"/>
        <w:rPr>
          <w:color w:val="009999"/>
          <w:sz w:val="24"/>
          <w:szCs w:val="24"/>
          <w:lang w:val="en-US"/>
        </w:rPr>
      </w:pPr>
    </w:p>
    <w:p w14:paraId="3D42F3CA" w14:textId="77777777" w:rsidR="002750E5" w:rsidRPr="009153EE" w:rsidRDefault="002750E5" w:rsidP="00502B58">
      <w:pPr>
        <w:jc w:val="center"/>
        <w:rPr>
          <w:color w:val="009999"/>
          <w:sz w:val="24"/>
          <w:szCs w:val="24"/>
          <w:lang w:val="en-US"/>
        </w:rPr>
      </w:pPr>
    </w:p>
    <w:p w14:paraId="3176A2C5" w14:textId="77777777" w:rsidR="00502B58" w:rsidRDefault="00502B58" w:rsidP="00502B58">
      <w:pPr>
        <w:rPr>
          <w:sz w:val="24"/>
          <w:szCs w:val="24"/>
          <w:lang w:val="en-US"/>
        </w:rPr>
      </w:pPr>
    </w:p>
    <w:p w14:paraId="2F4F2327" w14:textId="77777777" w:rsidR="00502B58" w:rsidRPr="00F22CA2" w:rsidRDefault="00502B58" w:rsidP="00502B58">
      <w:pPr>
        <w:spacing w:line="360" w:lineRule="auto"/>
        <w:rPr>
          <w:b/>
          <w:bCs/>
          <w:lang w:val="en-US"/>
        </w:rPr>
      </w:pPr>
      <w:r w:rsidRPr="00F22CA2">
        <w:rPr>
          <w:b/>
          <w:bCs/>
          <w:lang w:val="en-US"/>
        </w:rPr>
        <w:t>Introductory remarks</w:t>
      </w:r>
    </w:p>
    <w:p w14:paraId="51114D02" w14:textId="5ABE6379" w:rsidR="002304AC" w:rsidRPr="007501C8" w:rsidRDefault="00DD554B"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Sir, t</w:t>
      </w:r>
      <w:r w:rsidR="00502B58" w:rsidRPr="007501C8">
        <w:rPr>
          <w:rFonts w:asciiTheme="minorHAnsi" w:hAnsiTheme="minorHAnsi" w:cstheme="minorHAnsi"/>
          <w:sz w:val="24"/>
          <w:szCs w:val="24"/>
        </w:rPr>
        <w:t xml:space="preserve">he National Federation of Sub-postmasters (NFSP) is grateful for </w:t>
      </w:r>
      <w:r w:rsidRPr="007501C8">
        <w:rPr>
          <w:rFonts w:asciiTheme="minorHAnsi" w:hAnsiTheme="minorHAnsi" w:cstheme="minorHAnsi"/>
          <w:sz w:val="24"/>
          <w:szCs w:val="24"/>
        </w:rPr>
        <w:t>the Inquiry’s</w:t>
      </w:r>
      <w:r w:rsidR="00502B58" w:rsidRPr="007501C8">
        <w:rPr>
          <w:rFonts w:asciiTheme="minorHAnsi" w:hAnsiTheme="minorHAnsi" w:cstheme="minorHAnsi"/>
          <w:sz w:val="24"/>
          <w:szCs w:val="24"/>
        </w:rPr>
        <w:t xml:space="preserve"> permission to make an oral Closing Submission on </w:t>
      </w:r>
      <w:r w:rsidRPr="007501C8">
        <w:rPr>
          <w:rFonts w:asciiTheme="minorHAnsi" w:hAnsiTheme="minorHAnsi" w:cstheme="minorHAnsi"/>
          <w:sz w:val="24"/>
          <w:szCs w:val="24"/>
        </w:rPr>
        <w:t xml:space="preserve">the evidence heard in </w:t>
      </w:r>
      <w:r w:rsidR="00502B58" w:rsidRPr="007501C8">
        <w:rPr>
          <w:rFonts w:asciiTheme="minorHAnsi" w:hAnsiTheme="minorHAnsi" w:cstheme="minorHAnsi"/>
          <w:sz w:val="24"/>
          <w:szCs w:val="24"/>
        </w:rPr>
        <w:t>Phase 4</w:t>
      </w:r>
      <w:r w:rsidRPr="007501C8">
        <w:rPr>
          <w:rFonts w:asciiTheme="minorHAnsi" w:hAnsiTheme="minorHAnsi" w:cstheme="minorHAnsi"/>
          <w:sz w:val="24"/>
          <w:szCs w:val="24"/>
        </w:rPr>
        <w:t xml:space="preserve">. The NFSP of today once again takes this opportunity to confirm to this most important of public inquiries that it is committed to assisting in any way it can to shine a light on lies, deception and potential criminality. And, of course, that is a reference to the actions of the Post Office (and Fujitsu) and </w:t>
      </w:r>
      <w:r w:rsidRPr="007501C8">
        <w:rPr>
          <w:rFonts w:asciiTheme="minorHAnsi" w:hAnsiTheme="minorHAnsi" w:cstheme="minorHAnsi"/>
          <w:b/>
          <w:bCs/>
          <w:sz w:val="24"/>
          <w:szCs w:val="24"/>
        </w:rPr>
        <w:t>NOT</w:t>
      </w:r>
      <w:r w:rsidRPr="007501C8">
        <w:rPr>
          <w:rFonts w:asciiTheme="minorHAnsi" w:hAnsiTheme="minorHAnsi" w:cstheme="minorHAnsi"/>
          <w:sz w:val="24"/>
          <w:szCs w:val="24"/>
        </w:rPr>
        <w:t xml:space="preserve"> to the hundreds of Subpostmasters, assistants and Crown Office employees who the Post Office so wrongly </w:t>
      </w:r>
      <w:r w:rsidR="00AA1383" w:rsidRPr="007501C8">
        <w:rPr>
          <w:rFonts w:asciiTheme="minorHAnsi" w:hAnsiTheme="minorHAnsi" w:cstheme="minorHAnsi"/>
          <w:sz w:val="24"/>
          <w:szCs w:val="24"/>
        </w:rPr>
        <w:t xml:space="preserve">- </w:t>
      </w:r>
      <w:r w:rsidRPr="007501C8">
        <w:rPr>
          <w:rFonts w:asciiTheme="minorHAnsi" w:hAnsiTheme="minorHAnsi" w:cstheme="minorHAnsi"/>
          <w:sz w:val="24"/>
          <w:szCs w:val="24"/>
        </w:rPr>
        <w:t xml:space="preserve">and knowingly wrongly </w:t>
      </w:r>
      <w:r w:rsidR="00AA1383" w:rsidRPr="007501C8">
        <w:rPr>
          <w:rFonts w:asciiTheme="minorHAnsi" w:hAnsiTheme="minorHAnsi" w:cstheme="minorHAnsi"/>
          <w:sz w:val="24"/>
          <w:szCs w:val="24"/>
        </w:rPr>
        <w:t xml:space="preserve">- </w:t>
      </w:r>
      <w:r w:rsidRPr="007501C8">
        <w:rPr>
          <w:rFonts w:asciiTheme="minorHAnsi" w:hAnsiTheme="minorHAnsi" w:cstheme="minorHAnsi"/>
          <w:sz w:val="24"/>
          <w:szCs w:val="24"/>
        </w:rPr>
        <w:t xml:space="preserve">pursued through the courts with such great vigour. </w:t>
      </w:r>
    </w:p>
    <w:p w14:paraId="5DCCB2BE" w14:textId="0B8EC185" w:rsidR="00AA1383" w:rsidRPr="007501C8" w:rsidRDefault="002304AC"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It is no exaggeration to say that the evidence throughout Phase 4 taken either individually or collective</w:t>
      </w:r>
      <w:r w:rsidR="00A547BD">
        <w:rPr>
          <w:rFonts w:asciiTheme="minorHAnsi" w:hAnsiTheme="minorHAnsi" w:cstheme="minorHAnsi"/>
          <w:sz w:val="24"/>
          <w:szCs w:val="24"/>
        </w:rPr>
        <w:t>ly</w:t>
      </w:r>
      <w:r w:rsidRPr="007501C8">
        <w:rPr>
          <w:rFonts w:asciiTheme="minorHAnsi" w:hAnsiTheme="minorHAnsi" w:cstheme="minorHAnsi"/>
          <w:sz w:val="24"/>
          <w:szCs w:val="24"/>
        </w:rPr>
        <w:t xml:space="preserve"> has been nothing short of extraordinary</w:t>
      </w:r>
      <w:r w:rsidR="00696D92" w:rsidRPr="007501C8">
        <w:rPr>
          <w:rFonts w:asciiTheme="minorHAnsi" w:hAnsiTheme="minorHAnsi" w:cstheme="minorHAnsi"/>
          <w:i/>
          <w:iCs/>
          <w:sz w:val="24"/>
          <w:szCs w:val="24"/>
        </w:rPr>
        <w:t xml:space="preserve">. </w:t>
      </w:r>
      <w:r w:rsidR="00696D92" w:rsidRPr="007501C8">
        <w:rPr>
          <w:rFonts w:asciiTheme="minorHAnsi" w:hAnsiTheme="minorHAnsi" w:cstheme="minorHAnsi"/>
          <w:sz w:val="24"/>
          <w:szCs w:val="24"/>
        </w:rPr>
        <w:t>B</w:t>
      </w:r>
      <w:r w:rsidR="00ED6773" w:rsidRPr="007501C8">
        <w:rPr>
          <w:rFonts w:asciiTheme="minorHAnsi" w:hAnsiTheme="minorHAnsi" w:cstheme="minorHAnsi"/>
          <w:sz w:val="24"/>
          <w:szCs w:val="24"/>
        </w:rPr>
        <w:t>ut not in a good way.</w:t>
      </w:r>
    </w:p>
    <w:p w14:paraId="2345C034" w14:textId="4172598E" w:rsidR="00AA1383" w:rsidRPr="007501C8" w:rsidRDefault="002304AC"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 xml:space="preserve">Extraordinary in its </w:t>
      </w:r>
      <w:r w:rsidR="00ED6773" w:rsidRPr="007501C8">
        <w:rPr>
          <w:rFonts w:asciiTheme="minorHAnsi" w:hAnsiTheme="minorHAnsi" w:cstheme="minorHAnsi"/>
          <w:sz w:val="24"/>
          <w:szCs w:val="24"/>
        </w:rPr>
        <w:t xml:space="preserve">often </w:t>
      </w:r>
      <w:r w:rsidRPr="007501C8">
        <w:rPr>
          <w:rFonts w:asciiTheme="minorHAnsi" w:hAnsiTheme="minorHAnsi" w:cstheme="minorHAnsi"/>
          <w:sz w:val="24"/>
          <w:szCs w:val="24"/>
        </w:rPr>
        <w:t xml:space="preserve">deliberate </w:t>
      </w:r>
      <w:r w:rsidRPr="007501C8">
        <w:rPr>
          <w:rFonts w:asciiTheme="minorHAnsi" w:hAnsiTheme="minorHAnsi" w:cstheme="minorHAnsi"/>
          <w:b/>
          <w:bCs/>
          <w:sz w:val="24"/>
          <w:szCs w:val="24"/>
        </w:rPr>
        <w:t>obfu</w:t>
      </w:r>
      <w:r w:rsidR="00AA1383" w:rsidRPr="007501C8">
        <w:rPr>
          <w:rFonts w:asciiTheme="minorHAnsi" w:hAnsiTheme="minorHAnsi" w:cstheme="minorHAnsi"/>
          <w:b/>
          <w:bCs/>
          <w:sz w:val="24"/>
          <w:szCs w:val="24"/>
        </w:rPr>
        <w:t>s</w:t>
      </w:r>
      <w:r w:rsidRPr="007501C8">
        <w:rPr>
          <w:rFonts w:asciiTheme="minorHAnsi" w:hAnsiTheme="minorHAnsi" w:cstheme="minorHAnsi"/>
          <w:b/>
          <w:bCs/>
          <w:sz w:val="24"/>
          <w:szCs w:val="24"/>
        </w:rPr>
        <w:t>cation</w:t>
      </w:r>
      <w:r w:rsidR="00AA1383" w:rsidRPr="007501C8">
        <w:rPr>
          <w:rFonts w:asciiTheme="minorHAnsi" w:hAnsiTheme="minorHAnsi" w:cstheme="minorHAnsi"/>
          <w:sz w:val="24"/>
          <w:szCs w:val="24"/>
        </w:rPr>
        <w:t>. I use that word advisedly: the action of making something obscure, unclear or unintelligible. And several</w:t>
      </w:r>
      <w:r w:rsidR="00ED6773" w:rsidRPr="007501C8">
        <w:rPr>
          <w:rFonts w:asciiTheme="minorHAnsi" w:hAnsiTheme="minorHAnsi" w:cstheme="minorHAnsi"/>
          <w:sz w:val="24"/>
          <w:szCs w:val="24"/>
        </w:rPr>
        <w:t xml:space="preserve">, indeed many, </w:t>
      </w:r>
      <w:r w:rsidR="00AA1383" w:rsidRPr="007501C8">
        <w:rPr>
          <w:rFonts w:asciiTheme="minorHAnsi" w:hAnsiTheme="minorHAnsi" w:cstheme="minorHAnsi"/>
          <w:sz w:val="24"/>
          <w:szCs w:val="24"/>
        </w:rPr>
        <w:t xml:space="preserve">candidates for that immediately come to mind (I’ll come back to them later) </w:t>
      </w:r>
    </w:p>
    <w:p w14:paraId="0268FFCB" w14:textId="467F9A25" w:rsidR="008A2182" w:rsidRPr="007501C8" w:rsidRDefault="008A2182"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i/>
          <w:iCs/>
          <w:sz w:val="24"/>
          <w:szCs w:val="24"/>
        </w:rPr>
        <w:lastRenderedPageBreak/>
        <w:t xml:space="preserve">Obfuscation </w:t>
      </w:r>
      <w:r w:rsidR="00ED6773" w:rsidRPr="007501C8">
        <w:rPr>
          <w:rFonts w:asciiTheme="minorHAnsi" w:hAnsiTheme="minorHAnsi" w:cstheme="minorHAnsi"/>
          <w:sz w:val="24"/>
          <w:szCs w:val="24"/>
        </w:rPr>
        <w:t xml:space="preserve">in that never have so many failed to remember so much about what was their daily job, or even their previous jobs, or about their employer, or even who was in their team, or </w:t>
      </w:r>
      <w:r w:rsidR="004327F4" w:rsidRPr="007501C8">
        <w:rPr>
          <w:rFonts w:asciiTheme="minorHAnsi" w:hAnsiTheme="minorHAnsi" w:cstheme="minorHAnsi"/>
          <w:sz w:val="24"/>
          <w:szCs w:val="24"/>
        </w:rPr>
        <w:t xml:space="preserve">even </w:t>
      </w:r>
      <w:r w:rsidR="00ED6773" w:rsidRPr="007501C8">
        <w:rPr>
          <w:rFonts w:asciiTheme="minorHAnsi" w:hAnsiTheme="minorHAnsi" w:cstheme="minorHAnsi"/>
          <w:sz w:val="24"/>
          <w:szCs w:val="24"/>
        </w:rPr>
        <w:t>what their team was called, or who led it or, crucially, who told them the</w:t>
      </w:r>
      <w:r w:rsidR="00CB4311" w:rsidRPr="007501C8">
        <w:rPr>
          <w:rFonts w:asciiTheme="minorHAnsi" w:hAnsiTheme="minorHAnsi" w:cstheme="minorHAnsi"/>
          <w:sz w:val="24"/>
          <w:szCs w:val="24"/>
        </w:rPr>
        <w:t>re was nothing wrong with Horizon</w:t>
      </w:r>
      <w:r w:rsidR="007501C8">
        <w:rPr>
          <w:rFonts w:asciiTheme="minorHAnsi" w:hAnsiTheme="minorHAnsi" w:cstheme="minorHAnsi"/>
          <w:sz w:val="24"/>
          <w:szCs w:val="24"/>
        </w:rPr>
        <w:t>….</w:t>
      </w:r>
      <w:r w:rsidRPr="007501C8">
        <w:rPr>
          <w:rFonts w:asciiTheme="minorHAnsi" w:hAnsiTheme="minorHAnsi" w:cstheme="minorHAnsi"/>
          <w:sz w:val="24"/>
          <w:szCs w:val="24"/>
        </w:rPr>
        <w:t xml:space="preserve">or </w:t>
      </w:r>
      <w:r w:rsidR="007501C8">
        <w:rPr>
          <w:rFonts w:asciiTheme="minorHAnsi" w:hAnsiTheme="minorHAnsi" w:cstheme="minorHAnsi"/>
          <w:sz w:val="24"/>
          <w:szCs w:val="24"/>
        </w:rPr>
        <w:t xml:space="preserve">anything at all </w:t>
      </w:r>
      <w:r w:rsidRPr="007501C8">
        <w:rPr>
          <w:rFonts w:asciiTheme="minorHAnsi" w:hAnsiTheme="minorHAnsi" w:cstheme="minorHAnsi"/>
          <w:sz w:val="24"/>
          <w:szCs w:val="24"/>
        </w:rPr>
        <w:t xml:space="preserve">about those whose lives they had ruined.  </w:t>
      </w:r>
    </w:p>
    <w:p w14:paraId="29D89147" w14:textId="5E8D5C1C" w:rsidR="00ED6773" w:rsidRPr="007501C8" w:rsidRDefault="008A2182"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Apparently</w:t>
      </w:r>
      <w:r w:rsidR="007501C8">
        <w:rPr>
          <w:rFonts w:asciiTheme="minorHAnsi" w:hAnsiTheme="minorHAnsi" w:cstheme="minorHAnsi"/>
          <w:sz w:val="24"/>
          <w:szCs w:val="24"/>
        </w:rPr>
        <w:t xml:space="preserve"> it’s </w:t>
      </w:r>
      <w:r w:rsidR="008F3942">
        <w:rPr>
          <w:rFonts w:asciiTheme="minorHAnsi" w:hAnsiTheme="minorHAnsi" w:cstheme="minorHAnsi"/>
          <w:sz w:val="24"/>
          <w:szCs w:val="24"/>
        </w:rPr>
        <w:t>j</w:t>
      </w:r>
      <w:r w:rsidRPr="007501C8">
        <w:rPr>
          <w:rFonts w:asciiTheme="minorHAnsi" w:hAnsiTheme="minorHAnsi" w:cstheme="minorHAnsi"/>
          <w:sz w:val="24"/>
          <w:szCs w:val="24"/>
        </w:rPr>
        <w:t>ust one, big, collective memory failure: “</w:t>
      </w:r>
      <w:r w:rsidRPr="007501C8">
        <w:rPr>
          <w:rFonts w:asciiTheme="minorHAnsi" w:hAnsiTheme="minorHAnsi" w:cstheme="minorHAnsi"/>
          <w:i/>
          <w:iCs/>
          <w:sz w:val="24"/>
          <w:szCs w:val="24"/>
        </w:rPr>
        <w:t>I don’t remember”, “I can’t recall”</w:t>
      </w:r>
      <w:r w:rsidRPr="007501C8">
        <w:rPr>
          <w:rFonts w:asciiTheme="minorHAnsi" w:hAnsiTheme="minorHAnsi" w:cstheme="minorHAnsi"/>
          <w:sz w:val="24"/>
          <w:szCs w:val="24"/>
        </w:rPr>
        <w:t xml:space="preserve"> from one witness after another. Their evidence could be described as a collective</w:t>
      </w:r>
      <w:r w:rsidR="007501C8">
        <w:rPr>
          <w:rFonts w:asciiTheme="minorHAnsi" w:hAnsiTheme="minorHAnsi" w:cstheme="minorHAnsi"/>
          <w:sz w:val="24"/>
          <w:szCs w:val="24"/>
        </w:rPr>
        <w:t>:</w:t>
      </w:r>
      <w:r w:rsidRPr="007501C8">
        <w:rPr>
          <w:rFonts w:asciiTheme="minorHAnsi" w:hAnsiTheme="minorHAnsi" w:cstheme="minorHAnsi"/>
          <w:sz w:val="24"/>
          <w:szCs w:val="24"/>
        </w:rPr>
        <w:t xml:space="preserve"> See No Evil, Hear No Evil, Speak No Evil.  Unfortunately</w:t>
      </w:r>
      <w:r w:rsidR="007501C8">
        <w:rPr>
          <w:rFonts w:asciiTheme="minorHAnsi" w:hAnsiTheme="minorHAnsi" w:cstheme="minorHAnsi"/>
          <w:sz w:val="24"/>
          <w:szCs w:val="24"/>
        </w:rPr>
        <w:t>,</w:t>
      </w:r>
      <w:r w:rsidRPr="007501C8">
        <w:rPr>
          <w:rFonts w:asciiTheme="minorHAnsi" w:hAnsiTheme="minorHAnsi" w:cstheme="minorHAnsi"/>
          <w:sz w:val="24"/>
          <w:szCs w:val="24"/>
        </w:rPr>
        <w:t xml:space="preserve"> the fourth element of that </w:t>
      </w:r>
      <w:r w:rsidR="007501C8">
        <w:rPr>
          <w:rFonts w:asciiTheme="minorHAnsi" w:hAnsiTheme="minorHAnsi" w:cstheme="minorHAnsi"/>
          <w:sz w:val="24"/>
          <w:szCs w:val="24"/>
        </w:rPr>
        <w:t xml:space="preserve">ancient </w:t>
      </w:r>
      <w:r w:rsidRPr="007501C8">
        <w:rPr>
          <w:rFonts w:asciiTheme="minorHAnsi" w:hAnsiTheme="minorHAnsi" w:cstheme="minorHAnsi"/>
          <w:sz w:val="24"/>
          <w:szCs w:val="24"/>
        </w:rPr>
        <w:t>saying was simply not present anywhere in the Post Office: Do No Evil.   Alongside that ran the refrain: “</w:t>
      </w:r>
      <w:r w:rsidRPr="007501C8">
        <w:rPr>
          <w:rFonts w:asciiTheme="minorHAnsi" w:hAnsiTheme="minorHAnsi" w:cstheme="minorHAnsi"/>
          <w:i/>
          <w:iCs/>
          <w:sz w:val="24"/>
          <w:szCs w:val="24"/>
        </w:rPr>
        <w:t>it wasn’t me</w:t>
      </w:r>
      <w:r w:rsidR="007501C8">
        <w:rPr>
          <w:rFonts w:asciiTheme="minorHAnsi" w:hAnsiTheme="minorHAnsi" w:cstheme="minorHAnsi"/>
          <w:i/>
          <w:iCs/>
          <w:sz w:val="24"/>
          <w:szCs w:val="24"/>
        </w:rPr>
        <w:t>” or “</w:t>
      </w:r>
      <w:r w:rsidRPr="007501C8">
        <w:rPr>
          <w:rFonts w:asciiTheme="minorHAnsi" w:hAnsiTheme="minorHAnsi" w:cstheme="minorHAnsi"/>
          <w:i/>
          <w:iCs/>
          <w:sz w:val="24"/>
          <w:szCs w:val="24"/>
        </w:rPr>
        <w:t>it wasn’t my job</w:t>
      </w:r>
      <w:r w:rsidR="00C77F1D">
        <w:rPr>
          <w:rFonts w:asciiTheme="minorHAnsi" w:hAnsiTheme="minorHAnsi" w:cstheme="minorHAnsi"/>
          <w:i/>
          <w:iCs/>
          <w:sz w:val="24"/>
          <w:szCs w:val="24"/>
        </w:rPr>
        <w:t>” or “</w:t>
      </w:r>
      <w:r w:rsidRPr="007501C8">
        <w:rPr>
          <w:rFonts w:asciiTheme="minorHAnsi" w:hAnsiTheme="minorHAnsi" w:cstheme="minorHAnsi"/>
          <w:i/>
          <w:iCs/>
          <w:sz w:val="24"/>
          <w:szCs w:val="24"/>
        </w:rPr>
        <w:t>it was someone else</w:t>
      </w:r>
      <w:r w:rsidR="007501C8">
        <w:rPr>
          <w:rFonts w:asciiTheme="minorHAnsi" w:hAnsiTheme="minorHAnsi" w:cstheme="minorHAnsi"/>
          <w:i/>
          <w:iCs/>
          <w:sz w:val="24"/>
          <w:szCs w:val="24"/>
        </w:rPr>
        <w:t>’s</w:t>
      </w:r>
      <w:r w:rsidRPr="007501C8">
        <w:rPr>
          <w:rFonts w:asciiTheme="minorHAnsi" w:hAnsiTheme="minorHAnsi" w:cstheme="minorHAnsi"/>
          <w:i/>
          <w:iCs/>
          <w:sz w:val="24"/>
          <w:szCs w:val="24"/>
        </w:rPr>
        <w:t xml:space="preserve"> </w:t>
      </w:r>
      <w:r w:rsidR="007501C8">
        <w:rPr>
          <w:rFonts w:asciiTheme="minorHAnsi" w:hAnsiTheme="minorHAnsi" w:cstheme="minorHAnsi"/>
          <w:i/>
          <w:iCs/>
          <w:sz w:val="24"/>
          <w:szCs w:val="24"/>
        </w:rPr>
        <w:t xml:space="preserve">job </w:t>
      </w:r>
      <w:r w:rsidRPr="007501C8">
        <w:rPr>
          <w:rFonts w:asciiTheme="minorHAnsi" w:hAnsiTheme="minorHAnsi" w:cstheme="minorHAnsi"/>
          <w:i/>
          <w:iCs/>
          <w:sz w:val="24"/>
          <w:szCs w:val="24"/>
        </w:rPr>
        <w:t>but I can’t remember who</w:t>
      </w:r>
      <w:r w:rsidRPr="007501C8">
        <w:rPr>
          <w:rFonts w:asciiTheme="minorHAnsi" w:hAnsiTheme="minorHAnsi" w:cstheme="minorHAnsi"/>
          <w:sz w:val="24"/>
          <w:szCs w:val="24"/>
        </w:rPr>
        <w:t xml:space="preserve">”. (The colloquial version of the Scots criminal law defence of incrimination sums it up perfectly: </w:t>
      </w:r>
      <w:r w:rsidRPr="007501C8">
        <w:rPr>
          <w:rFonts w:asciiTheme="minorHAnsi" w:hAnsiTheme="minorHAnsi" w:cstheme="minorHAnsi"/>
          <w:i/>
          <w:iCs/>
          <w:sz w:val="24"/>
          <w:szCs w:val="24"/>
        </w:rPr>
        <w:t xml:space="preserve">it </w:t>
      </w:r>
      <w:proofErr w:type="spellStart"/>
      <w:r w:rsidRPr="007501C8">
        <w:rPr>
          <w:rFonts w:asciiTheme="minorHAnsi" w:hAnsiTheme="minorHAnsi" w:cstheme="minorHAnsi"/>
          <w:i/>
          <w:iCs/>
          <w:sz w:val="24"/>
          <w:szCs w:val="24"/>
        </w:rPr>
        <w:t>wisnae</w:t>
      </w:r>
      <w:proofErr w:type="spellEnd"/>
      <w:r w:rsidRPr="007501C8">
        <w:rPr>
          <w:rFonts w:asciiTheme="minorHAnsi" w:hAnsiTheme="minorHAnsi" w:cstheme="minorHAnsi"/>
          <w:i/>
          <w:iCs/>
          <w:sz w:val="24"/>
          <w:szCs w:val="24"/>
        </w:rPr>
        <w:t xml:space="preserve"> me, a big boy done it and ran away</w:t>
      </w:r>
      <w:r w:rsidRPr="007501C8">
        <w:rPr>
          <w:rFonts w:asciiTheme="minorHAnsi" w:hAnsiTheme="minorHAnsi" w:cstheme="minorHAnsi"/>
          <w:sz w:val="24"/>
          <w:szCs w:val="24"/>
        </w:rPr>
        <w:t xml:space="preserve">) </w:t>
      </w:r>
    </w:p>
    <w:p w14:paraId="694EC674" w14:textId="3765FE54" w:rsidR="008A2182" w:rsidRPr="007501C8" w:rsidRDefault="00ED6773"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i/>
          <w:iCs/>
          <w:sz w:val="24"/>
          <w:szCs w:val="24"/>
        </w:rPr>
        <w:t xml:space="preserve">Extraordinary </w:t>
      </w:r>
      <w:r w:rsidRPr="007501C8">
        <w:rPr>
          <w:rFonts w:asciiTheme="minorHAnsi" w:hAnsiTheme="minorHAnsi" w:cstheme="minorHAnsi"/>
          <w:sz w:val="24"/>
          <w:szCs w:val="24"/>
        </w:rPr>
        <w:t xml:space="preserve">in that some </w:t>
      </w:r>
      <w:r w:rsidR="00CB4311" w:rsidRPr="007501C8">
        <w:rPr>
          <w:rFonts w:asciiTheme="minorHAnsi" w:hAnsiTheme="minorHAnsi" w:cstheme="minorHAnsi"/>
          <w:sz w:val="24"/>
          <w:szCs w:val="24"/>
        </w:rPr>
        <w:t xml:space="preserve">(and some might say, a lot) </w:t>
      </w:r>
      <w:r w:rsidRPr="007501C8">
        <w:rPr>
          <w:rFonts w:asciiTheme="minorHAnsi" w:hAnsiTheme="minorHAnsi" w:cstheme="minorHAnsi"/>
          <w:sz w:val="24"/>
          <w:szCs w:val="24"/>
        </w:rPr>
        <w:t>of what was heard simply defied belief</w:t>
      </w:r>
      <w:r w:rsidR="00CB4311" w:rsidRPr="007501C8">
        <w:rPr>
          <w:rFonts w:asciiTheme="minorHAnsi" w:hAnsiTheme="minorHAnsi" w:cstheme="minorHAnsi"/>
          <w:sz w:val="24"/>
          <w:szCs w:val="24"/>
        </w:rPr>
        <w:t xml:space="preserve">: witness statements as evidence for court proceedings being signed </w:t>
      </w:r>
      <w:r w:rsidR="00564EB3">
        <w:rPr>
          <w:rFonts w:asciiTheme="minorHAnsi" w:hAnsiTheme="minorHAnsi" w:cstheme="minorHAnsi"/>
          <w:sz w:val="24"/>
          <w:szCs w:val="24"/>
        </w:rPr>
        <w:t xml:space="preserve">as truthful </w:t>
      </w:r>
      <w:r w:rsidR="00CB4311" w:rsidRPr="007501C8">
        <w:rPr>
          <w:rFonts w:asciiTheme="minorHAnsi" w:hAnsiTheme="minorHAnsi" w:cstheme="minorHAnsi"/>
          <w:sz w:val="24"/>
          <w:szCs w:val="24"/>
        </w:rPr>
        <w:t>by witnesses who didn’t</w:t>
      </w:r>
      <w:r w:rsidR="00564EB3">
        <w:rPr>
          <w:rFonts w:asciiTheme="minorHAnsi" w:hAnsiTheme="minorHAnsi" w:cstheme="minorHAnsi"/>
          <w:sz w:val="24"/>
          <w:szCs w:val="24"/>
        </w:rPr>
        <w:t xml:space="preserve"> even</w:t>
      </w:r>
      <w:r w:rsidR="00CB4311" w:rsidRPr="007501C8">
        <w:rPr>
          <w:rFonts w:asciiTheme="minorHAnsi" w:hAnsiTheme="minorHAnsi" w:cstheme="minorHAnsi"/>
          <w:sz w:val="24"/>
          <w:szCs w:val="24"/>
        </w:rPr>
        <w:t xml:space="preserve"> write those statements; so-called ‘experts’ being instructed without having the requisite expertise, or even if they did, without being given all the relevant information; witnesses who today think those they investigated and whose convictions were quashed in the criminal appeal courts are actually still guilty</w:t>
      </w:r>
      <w:r w:rsidR="00696D92" w:rsidRPr="007501C8">
        <w:rPr>
          <w:rFonts w:asciiTheme="minorHAnsi" w:hAnsiTheme="minorHAnsi" w:cstheme="minorHAnsi"/>
          <w:sz w:val="24"/>
          <w:szCs w:val="24"/>
        </w:rPr>
        <w:t>.</w:t>
      </w:r>
    </w:p>
    <w:p w14:paraId="665E99A1" w14:textId="1A731B5D" w:rsidR="004327F4" w:rsidRPr="007501C8" w:rsidRDefault="004327F4"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And so it was</w:t>
      </w:r>
      <w:r w:rsidR="00564EB3">
        <w:rPr>
          <w:rFonts w:asciiTheme="minorHAnsi" w:hAnsiTheme="minorHAnsi" w:cstheme="minorHAnsi"/>
          <w:sz w:val="24"/>
          <w:szCs w:val="24"/>
        </w:rPr>
        <w:t>,</w:t>
      </w:r>
      <w:r w:rsidRPr="007501C8">
        <w:rPr>
          <w:rFonts w:asciiTheme="minorHAnsi" w:hAnsiTheme="minorHAnsi" w:cstheme="minorHAnsi"/>
          <w:sz w:val="24"/>
          <w:szCs w:val="24"/>
        </w:rPr>
        <w:t xml:space="preserve"> that on the basis of the way these people did their jobs, whether </w:t>
      </w:r>
      <w:r w:rsidR="00564EB3">
        <w:rPr>
          <w:rFonts w:asciiTheme="minorHAnsi" w:hAnsiTheme="minorHAnsi" w:cstheme="minorHAnsi"/>
          <w:sz w:val="24"/>
          <w:szCs w:val="24"/>
        </w:rPr>
        <w:t xml:space="preserve">it was </w:t>
      </w:r>
      <w:r w:rsidRPr="007501C8">
        <w:rPr>
          <w:rFonts w:asciiTheme="minorHAnsi" w:hAnsiTheme="minorHAnsi" w:cstheme="minorHAnsi"/>
          <w:sz w:val="24"/>
          <w:szCs w:val="24"/>
        </w:rPr>
        <w:t>on the computer</w:t>
      </w:r>
      <w:r w:rsidR="00564EB3">
        <w:rPr>
          <w:rFonts w:asciiTheme="minorHAnsi" w:hAnsiTheme="minorHAnsi" w:cstheme="minorHAnsi"/>
          <w:sz w:val="24"/>
          <w:szCs w:val="24"/>
        </w:rPr>
        <w:t xml:space="preserve"> side of things,</w:t>
      </w:r>
      <w:r w:rsidRPr="007501C8">
        <w:rPr>
          <w:rFonts w:asciiTheme="minorHAnsi" w:hAnsiTheme="minorHAnsi" w:cstheme="minorHAnsi"/>
          <w:sz w:val="24"/>
          <w:szCs w:val="24"/>
        </w:rPr>
        <w:t xml:space="preserve"> </w:t>
      </w:r>
      <w:r w:rsidR="00564EB3">
        <w:rPr>
          <w:rFonts w:asciiTheme="minorHAnsi" w:hAnsiTheme="minorHAnsi" w:cstheme="minorHAnsi"/>
          <w:sz w:val="24"/>
          <w:szCs w:val="24"/>
        </w:rPr>
        <w:t xml:space="preserve">technical support, </w:t>
      </w:r>
      <w:r w:rsidRPr="007501C8">
        <w:rPr>
          <w:rFonts w:asciiTheme="minorHAnsi" w:hAnsiTheme="minorHAnsi" w:cstheme="minorHAnsi"/>
          <w:sz w:val="24"/>
          <w:szCs w:val="24"/>
        </w:rPr>
        <w:t xml:space="preserve">software, legal, auditing, investigating, </w:t>
      </w:r>
      <w:r w:rsidR="00564EB3">
        <w:rPr>
          <w:rFonts w:asciiTheme="minorHAnsi" w:hAnsiTheme="minorHAnsi" w:cstheme="minorHAnsi"/>
          <w:sz w:val="24"/>
          <w:szCs w:val="24"/>
        </w:rPr>
        <w:t xml:space="preserve">and </w:t>
      </w:r>
      <w:r w:rsidRPr="007501C8">
        <w:rPr>
          <w:rFonts w:asciiTheme="minorHAnsi" w:hAnsiTheme="minorHAnsi" w:cstheme="minorHAnsi"/>
          <w:sz w:val="24"/>
          <w:szCs w:val="24"/>
        </w:rPr>
        <w:t>prosecuting side of things that hundreds were wrongly convicted and had their lives ruined.</w:t>
      </w:r>
    </w:p>
    <w:p w14:paraId="2CA8C60D" w14:textId="38762C44" w:rsidR="004327F4" w:rsidRPr="007501C8" w:rsidRDefault="004327F4"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lastRenderedPageBreak/>
        <w:t xml:space="preserve">And over and above those convictions, there are all of those, including the convicted, who paid money to the </w:t>
      </w:r>
      <w:r w:rsidR="00564EB3">
        <w:rPr>
          <w:rFonts w:asciiTheme="minorHAnsi" w:hAnsiTheme="minorHAnsi" w:cstheme="minorHAnsi"/>
          <w:sz w:val="24"/>
          <w:szCs w:val="24"/>
        </w:rPr>
        <w:t>P</w:t>
      </w:r>
      <w:r w:rsidRPr="007501C8">
        <w:rPr>
          <w:rFonts w:asciiTheme="minorHAnsi" w:hAnsiTheme="minorHAnsi" w:cstheme="minorHAnsi"/>
          <w:sz w:val="24"/>
          <w:szCs w:val="24"/>
        </w:rPr>
        <w:t>ost</w:t>
      </w:r>
      <w:r w:rsidR="00564EB3">
        <w:rPr>
          <w:rFonts w:asciiTheme="minorHAnsi" w:hAnsiTheme="minorHAnsi" w:cstheme="minorHAnsi"/>
          <w:sz w:val="24"/>
          <w:szCs w:val="24"/>
        </w:rPr>
        <w:t xml:space="preserve"> O</w:t>
      </w:r>
      <w:r w:rsidRPr="007501C8">
        <w:rPr>
          <w:rFonts w:asciiTheme="minorHAnsi" w:hAnsiTheme="minorHAnsi" w:cstheme="minorHAnsi"/>
          <w:sz w:val="24"/>
          <w:szCs w:val="24"/>
        </w:rPr>
        <w:t xml:space="preserve">ffice for the alleged shortfalls. Again, pursued with a level of vigour that is almost indescribable.  And where is that money? It must amount to tens of thousands if not millions of pounds…all in the pocket of the Post Office, </w:t>
      </w:r>
      <w:r w:rsidR="00C77F1D">
        <w:rPr>
          <w:rFonts w:asciiTheme="minorHAnsi" w:hAnsiTheme="minorHAnsi" w:cstheme="minorHAnsi"/>
          <w:sz w:val="24"/>
          <w:szCs w:val="24"/>
        </w:rPr>
        <w:t xml:space="preserve">was it </w:t>
      </w:r>
      <w:r w:rsidRPr="007501C8">
        <w:rPr>
          <w:rFonts w:asciiTheme="minorHAnsi" w:hAnsiTheme="minorHAnsi" w:cstheme="minorHAnsi"/>
          <w:sz w:val="24"/>
          <w:szCs w:val="24"/>
        </w:rPr>
        <w:t xml:space="preserve">funding their </w:t>
      </w:r>
      <w:r w:rsidR="00C77F1D">
        <w:rPr>
          <w:rFonts w:asciiTheme="minorHAnsi" w:hAnsiTheme="minorHAnsi" w:cstheme="minorHAnsi"/>
          <w:sz w:val="24"/>
          <w:szCs w:val="24"/>
        </w:rPr>
        <w:t xml:space="preserve">various </w:t>
      </w:r>
      <w:r w:rsidRPr="007501C8">
        <w:rPr>
          <w:rFonts w:asciiTheme="minorHAnsi" w:hAnsiTheme="minorHAnsi" w:cstheme="minorHAnsi"/>
          <w:sz w:val="24"/>
          <w:szCs w:val="24"/>
        </w:rPr>
        <w:t>bon</w:t>
      </w:r>
      <w:r w:rsidR="00564EB3">
        <w:rPr>
          <w:rFonts w:asciiTheme="minorHAnsi" w:hAnsiTheme="minorHAnsi" w:cstheme="minorHAnsi"/>
          <w:sz w:val="24"/>
          <w:szCs w:val="24"/>
        </w:rPr>
        <w:t>u</w:t>
      </w:r>
      <w:r w:rsidRPr="007501C8">
        <w:rPr>
          <w:rFonts w:asciiTheme="minorHAnsi" w:hAnsiTheme="minorHAnsi" w:cstheme="minorHAnsi"/>
          <w:sz w:val="24"/>
          <w:szCs w:val="24"/>
        </w:rPr>
        <w:t>ses</w:t>
      </w:r>
      <w:r w:rsidR="00C77F1D">
        <w:rPr>
          <w:rFonts w:asciiTheme="minorHAnsi" w:hAnsiTheme="minorHAnsi" w:cstheme="minorHAnsi"/>
          <w:sz w:val="24"/>
          <w:szCs w:val="24"/>
        </w:rPr>
        <w:t xml:space="preserve"> or going into the bottom line of profits.</w:t>
      </w:r>
    </w:p>
    <w:p w14:paraId="63A68DEB" w14:textId="03388916" w:rsidR="00696D92" w:rsidRPr="007501C8" w:rsidRDefault="00696D92"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 xml:space="preserve">As a result of the way in which many of these witnesses gave their evidence and the disclosure failures throughout, </w:t>
      </w:r>
      <w:r w:rsidR="00564EB3">
        <w:rPr>
          <w:rFonts w:asciiTheme="minorHAnsi" w:hAnsiTheme="minorHAnsi" w:cstheme="minorHAnsi"/>
          <w:sz w:val="24"/>
          <w:szCs w:val="24"/>
        </w:rPr>
        <w:t xml:space="preserve">it is submitted </w:t>
      </w:r>
      <w:r w:rsidRPr="007501C8">
        <w:rPr>
          <w:rFonts w:asciiTheme="minorHAnsi" w:hAnsiTheme="minorHAnsi" w:cstheme="minorHAnsi"/>
          <w:sz w:val="24"/>
          <w:szCs w:val="24"/>
        </w:rPr>
        <w:t>there must be a concern as to how it is that the Inquiry</w:t>
      </w:r>
      <w:r w:rsidR="00564EB3">
        <w:rPr>
          <w:rFonts w:asciiTheme="minorHAnsi" w:hAnsiTheme="minorHAnsi" w:cstheme="minorHAnsi"/>
          <w:sz w:val="24"/>
          <w:szCs w:val="24"/>
        </w:rPr>
        <w:t>,</w:t>
      </w:r>
      <w:r w:rsidRPr="007501C8">
        <w:rPr>
          <w:rFonts w:asciiTheme="minorHAnsi" w:hAnsiTheme="minorHAnsi" w:cstheme="minorHAnsi"/>
          <w:sz w:val="24"/>
          <w:szCs w:val="24"/>
        </w:rPr>
        <w:t xml:space="preserve"> and you Sir</w:t>
      </w:r>
      <w:r w:rsidR="00564EB3">
        <w:rPr>
          <w:rFonts w:asciiTheme="minorHAnsi" w:hAnsiTheme="minorHAnsi" w:cstheme="minorHAnsi"/>
          <w:sz w:val="24"/>
          <w:szCs w:val="24"/>
        </w:rPr>
        <w:t>,</w:t>
      </w:r>
      <w:r w:rsidRPr="007501C8">
        <w:rPr>
          <w:rFonts w:asciiTheme="minorHAnsi" w:hAnsiTheme="minorHAnsi" w:cstheme="minorHAnsi"/>
          <w:sz w:val="24"/>
          <w:szCs w:val="24"/>
        </w:rPr>
        <w:t xml:space="preserve"> can get to the bottom of al</w:t>
      </w:r>
      <w:r w:rsidR="00564EB3">
        <w:rPr>
          <w:rFonts w:asciiTheme="minorHAnsi" w:hAnsiTheme="minorHAnsi" w:cstheme="minorHAnsi"/>
          <w:sz w:val="24"/>
          <w:szCs w:val="24"/>
        </w:rPr>
        <w:t>l</w:t>
      </w:r>
      <w:r w:rsidRPr="007501C8">
        <w:rPr>
          <w:rFonts w:asciiTheme="minorHAnsi" w:hAnsiTheme="minorHAnsi" w:cstheme="minorHAnsi"/>
          <w:sz w:val="24"/>
          <w:szCs w:val="24"/>
        </w:rPr>
        <w:t xml:space="preserve"> of this.  However, the NFSP has faith in the clear, dogged and forensic way the Inquiry is working and is determined to assist wherever it can. </w:t>
      </w:r>
    </w:p>
    <w:p w14:paraId="2598E4E2" w14:textId="5A803685" w:rsidR="00564EB3" w:rsidRDefault="00696D92"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While the NFSP was among those lied to on an industrial scale by the Post Office about Horizon</w:t>
      </w:r>
      <w:r w:rsidR="00564EB3">
        <w:rPr>
          <w:rFonts w:asciiTheme="minorHAnsi" w:hAnsiTheme="minorHAnsi" w:cstheme="minorHAnsi"/>
          <w:sz w:val="24"/>
          <w:szCs w:val="24"/>
        </w:rPr>
        <w:t xml:space="preserve"> for many years,</w:t>
      </w:r>
      <w:r w:rsidRPr="007501C8">
        <w:rPr>
          <w:rFonts w:asciiTheme="minorHAnsi" w:hAnsiTheme="minorHAnsi" w:cstheme="minorHAnsi"/>
          <w:sz w:val="24"/>
          <w:szCs w:val="24"/>
        </w:rPr>
        <w:t xml:space="preserve"> the NFSP of today knows that its commitment to engagement in the forthcoming Phase 5 will shine a light on all of those involved in the response to the scandal as it emerged.  It stands ready to acknowledge and accept where the organisation of yesterday failed. It welcomes the opportunity to deal with that alongside th</w:t>
      </w:r>
      <w:r w:rsidR="00C77F1D">
        <w:rPr>
          <w:rFonts w:asciiTheme="minorHAnsi" w:hAnsiTheme="minorHAnsi" w:cstheme="minorHAnsi"/>
          <w:sz w:val="24"/>
          <w:szCs w:val="24"/>
        </w:rPr>
        <w:t>ose</w:t>
      </w:r>
      <w:r w:rsidRPr="007501C8">
        <w:rPr>
          <w:rFonts w:asciiTheme="minorHAnsi" w:hAnsiTheme="minorHAnsi" w:cstheme="minorHAnsi"/>
          <w:sz w:val="24"/>
          <w:szCs w:val="24"/>
        </w:rPr>
        <w:t xml:space="preserve"> of other</w:t>
      </w:r>
      <w:r w:rsidR="00564EB3">
        <w:rPr>
          <w:rFonts w:asciiTheme="minorHAnsi" w:hAnsiTheme="minorHAnsi" w:cstheme="minorHAnsi"/>
          <w:sz w:val="24"/>
          <w:szCs w:val="24"/>
        </w:rPr>
        <w:t>s involved, including</w:t>
      </w:r>
      <w:r w:rsidRPr="007501C8">
        <w:rPr>
          <w:rFonts w:asciiTheme="minorHAnsi" w:hAnsiTheme="minorHAnsi" w:cstheme="minorHAnsi"/>
          <w:sz w:val="24"/>
          <w:szCs w:val="24"/>
        </w:rPr>
        <w:t xml:space="preserve"> </w:t>
      </w:r>
      <w:r w:rsidR="00C77F1D">
        <w:rPr>
          <w:rFonts w:asciiTheme="minorHAnsi" w:hAnsiTheme="minorHAnsi" w:cstheme="minorHAnsi"/>
          <w:sz w:val="24"/>
          <w:szCs w:val="24"/>
        </w:rPr>
        <w:t xml:space="preserve">the courts, </w:t>
      </w:r>
      <w:r w:rsidRPr="007501C8">
        <w:rPr>
          <w:rFonts w:asciiTheme="minorHAnsi" w:hAnsiTheme="minorHAnsi" w:cstheme="minorHAnsi"/>
          <w:sz w:val="24"/>
          <w:szCs w:val="24"/>
        </w:rPr>
        <w:t>unions and representative bodies</w:t>
      </w:r>
      <w:r w:rsidR="00C77F1D">
        <w:rPr>
          <w:rFonts w:asciiTheme="minorHAnsi" w:hAnsiTheme="minorHAnsi" w:cstheme="minorHAnsi"/>
          <w:sz w:val="24"/>
          <w:szCs w:val="24"/>
        </w:rPr>
        <w:t xml:space="preserve"> and other organisational bodies</w:t>
      </w:r>
      <w:r w:rsidRPr="007501C8">
        <w:rPr>
          <w:rFonts w:asciiTheme="minorHAnsi" w:hAnsiTheme="minorHAnsi" w:cstheme="minorHAnsi"/>
          <w:sz w:val="24"/>
          <w:szCs w:val="24"/>
        </w:rPr>
        <w:t xml:space="preserve">. </w:t>
      </w:r>
    </w:p>
    <w:p w14:paraId="23C97B78" w14:textId="15E1016C" w:rsidR="004327F4" w:rsidRPr="007501C8" w:rsidRDefault="00696D92"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 xml:space="preserve">The NFSP of today is committed to </w:t>
      </w:r>
      <w:r w:rsidR="004327F4" w:rsidRPr="007501C8">
        <w:rPr>
          <w:rFonts w:asciiTheme="minorHAnsi" w:hAnsiTheme="minorHAnsi" w:cstheme="minorHAnsi"/>
          <w:sz w:val="24"/>
          <w:szCs w:val="24"/>
        </w:rPr>
        <w:t>working with others and campaigning on the speeding up of the quashing of criminal convictions,</w:t>
      </w:r>
      <w:r w:rsidR="00564EB3">
        <w:rPr>
          <w:rFonts w:asciiTheme="minorHAnsi" w:hAnsiTheme="minorHAnsi" w:cstheme="minorHAnsi"/>
          <w:sz w:val="24"/>
          <w:szCs w:val="24"/>
        </w:rPr>
        <w:t xml:space="preserve"> compensation,</w:t>
      </w:r>
      <w:r w:rsidR="004327F4" w:rsidRPr="007501C8">
        <w:rPr>
          <w:rFonts w:asciiTheme="minorHAnsi" w:hAnsiTheme="minorHAnsi" w:cstheme="minorHAnsi"/>
          <w:sz w:val="24"/>
          <w:szCs w:val="24"/>
        </w:rPr>
        <w:t xml:space="preserve"> the Horizon Shortfall Scheme while also trying to ensure that post office branches up and down the land are supported by the public and not boycotted due to the damage done to the words </w:t>
      </w:r>
      <w:r w:rsidR="00564EB3">
        <w:rPr>
          <w:rFonts w:asciiTheme="minorHAnsi" w:hAnsiTheme="minorHAnsi" w:cstheme="minorHAnsi"/>
          <w:sz w:val="24"/>
          <w:szCs w:val="24"/>
        </w:rPr>
        <w:t>“</w:t>
      </w:r>
      <w:r w:rsidR="004327F4" w:rsidRPr="007501C8">
        <w:rPr>
          <w:rFonts w:asciiTheme="minorHAnsi" w:hAnsiTheme="minorHAnsi" w:cstheme="minorHAnsi"/>
          <w:sz w:val="24"/>
          <w:szCs w:val="24"/>
        </w:rPr>
        <w:t>Post Office</w:t>
      </w:r>
      <w:r w:rsidR="00564EB3">
        <w:rPr>
          <w:rFonts w:asciiTheme="minorHAnsi" w:hAnsiTheme="minorHAnsi" w:cstheme="minorHAnsi"/>
          <w:sz w:val="24"/>
          <w:szCs w:val="24"/>
        </w:rPr>
        <w:t>”</w:t>
      </w:r>
      <w:r w:rsidR="004327F4" w:rsidRPr="007501C8">
        <w:rPr>
          <w:rFonts w:asciiTheme="minorHAnsi" w:hAnsiTheme="minorHAnsi" w:cstheme="minorHAnsi"/>
          <w:sz w:val="24"/>
          <w:szCs w:val="24"/>
        </w:rPr>
        <w:t xml:space="preserve"> as a result of this scandal. </w:t>
      </w:r>
    </w:p>
    <w:p w14:paraId="0AF89A06" w14:textId="4D2E4D1C" w:rsidR="00502B58" w:rsidRDefault="00600D9E" w:rsidP="007501C8">
      <w:pPr>
        <w:pStyle w:val="ListParagraph"/>
        <w:numPr>
          <w:ilvl w:val="0"/>
          <w:numId w:val="6"/>
        </w:numPr>
        <w:spacing w:line="480" w:lineRule="auto"/>
        <w:rPr>
          <w:rFonts w:asciiTheme="minorHAnsi" w:hAnsiTheme="minorHAnsi" w:cstheme="minorHAnsi"/>
          <w:sz w:val="24"/>
          <w:szCs w:val="24"/>
        </w:rPr>
      </w:pPr>
      <w:r>
        <w:rPr>
          <w:rFonts w:asciiTheme="minorHAnsi" w:hAnsiTheme="minorHAnsi" w:cstheme="minorHAnsi"/>
          <w:sz w:val="24"/>
          <w:szCs w:val="24"/>
        </w:rPr>
        <w:lastRenderedPageBreak/>
        <w:t xml:space="preserve">Whatever some have said about the past, </w:t>
      </w:r>
      <w:r w:rsidR="00C77F1D">
        <w:rPr>
          <w:rFonts w:asciiTheme="minorHAnsi" w:hAnsiTheme="minorHAnsi" w:cstheme="minorHAnsi"/>
          <w:sz w:val="24"/>
          <w:szCs w:val="24"/>
        </w:rPr>
        <w:t xml:space="preserve">the </w:t>
      </w:r>
      <w:r>
        <w:rPr>
          <w:rFonts w:asciiTheme="minorHAnsi" w:hAnsiTheme="minorHAnsi" w:cstheme="minorHAnsi"/>
          <w:sz w:val="24"/>
          <w:szCs w:val="24"/>
        </w:rPr>
        <w:t>o</w:t>
      </w:r>
      <w:r w:rsidR="004327F4" w:rsidRPr="007501C8">
        <w:rPr>
          <w:rFonts w:asciiTheme="minorHAnsi" w:hAnsiTheme="minorHAnsi" w:cstheme="minorHAnsi"/>
          <w:sz w:val="24"/>
          <w:szCs w:val="24"/>
        </w:rPr>
        <w:t xml:space="preserve">ne thing the NFSP of today can say loud and clear is that it is prepared wherever and whenever necessary to publicly criticise the Post Office and it does so here, today, loud and clear. </w:t>
      </w:r>
    </w:p>
    <w:p w14:paraId="5FD75BD0" w14:textId="6A2CFFBC" w:rsidR="007276D4" w:rsidRPr="007501C8" w:rsidRDefault="002446E0" w:rsidP="007501C8">
      <w:pPr>
        <w:spacing w:line="480" w:lineRule="auto"/>
        <w:rPr>
          <w:rFonts w:cstheme="minorHAnsi"/>
          <w:b/>
          <w:bCs/>
          <w:sz w:val="24"/>
          <w:szCs w:val="24"/>
        </w:rPr>
      </w:pPr>
      <w:r w:rsidRPr="007501C8">
        <w:rPr>
          <w:rFonts w:cstheme="minorHAnsi"/>
          <w:b/>
          <w:bCs/>
          <w:sz w:val="24"/>
          <w:szCs w:val="24"/>
        </w:rPr>
        <w:t>Disclosure</w:t>
      </w:r>
    </w:p>
    <w:p w14:paraId="6D786231" w14:textId="7BAED127" w:rsidR="007276D4" w:rsidRPr="007501C8" w:rsidRDefault="00564EB3" w:rsidP="007501C8">
      <w:pPr>
        <w:pStyle w:val="ListParagraph"/>
        <w:numPr>
          <w:ilvl w:val="0"/>
          <w:numId w:val="6"/>
        </w:numPr>
        <w:spacing w:line="480" w:lineRule="auto"/>
        <w:rPr>
          <w:rFonts w:asciiTheme="minorHAnsi" w:hAnsiTheme="minorHAnsi" w:cstheme="minorHAnsi"/>
          <w:sz w:val="24"/>
          <w:szCs w:val="24"/>
        </w:rPr>
      </w:pPr>
      <w:r>
        <w:rPr>
          <w:rFonts w:asciiTheme="minorHAnsi" w:hAnsiTheme="minorHAnsi" w:cstheme="minorHAnsi"/>
          <w:sz w:val="24"/>
          <w:szCs w:val="24"/>
        </w:rPr>
        <w:t>It is submitted t</w:t>
      </w:r>
      <w:r w:rsidR="007276D4" w:rsidRPr="007501C8">
        <w:rPr>
          <w:rFonts w:asciiTheme="minorHAnsi" w:hAnsiTheme="minorHAnsi" w:cstheme="minorHAnsi"/>
          <w:sz w:val="24"/>
          <w:szCs w:val="24"/>
        </w:rPr>
        <w:t>hat Phase 4 has highlighted</w:t>
      </w:r>
      <w:r>
        <w:rPr>
          <w:rFonts w:asciiTheme="minorHAnsi" w:hAnsiTheme="minorHAnsi" w:cstheme="minorHAnsi"/>
          <w:sz w:val="24"/>
          <w:szCs w:val="24"/>
        </w:rPr>
        <w:t>,</w:t>
      </w:r>
      <w:r w:rsidR="007276D4" w:rsidRPr="007501C8">
        <w:rPr>
          <w:rFonts w:asciiTheme="minorHAnsi" w:hAnsiTheme="minorHAnsi" w:cstheme="minorHAnsi"/>
          <w:sz w:val="24"/>
          <w:szCs w:val="24"/>
        </w:rPr>
        <w:t xml:space="preserve"> </w:t>
      </w:r>
      <w:r w:rsidR="007D70EE">
        <w:rPr>
          <w:rFonts w:asciiTheme="minorHAnsi" w:hAnsiTheme="minorHAnsi" w:cstheme="minorHAnsi"/>
          <w:sz w:val="24"/>
          <w:szCs w:val="24"/>
        </w:rPr>
        <w:t xml:space="preserve">and </w:t>
      </w:r>
      <w:r w:rsidR="007276D4" w:rsidRPr="007501C8">
        <w:rPr>
          <w:rFonts w:asciiTheme="minorHAnsi" w:hAnsiTheme="minorHAnsi" w:cstheme="minorHAnsi"/>
          <w:sz w:val="24"/>
          <w:szCs w:val="24"/>
        </w:rPr>
        <w:t xml:space="preserve">indeed </w:t>
      </w:r>
      <w:r w:rsidR="00F76B88">
        <w:rPr>
          <w:rFonts w:asciiTheme="minorHAnsi" w:hAnsiTheme="minorHAnsi" w:cstheme="minorHAnsi"/>
          <w:sz w:val="24"/>
          <w:szCs w:val="24"/>
        </w:rPr>
        <w:t xml:space="preserve">the Inquiry has </w:t>
      </w:r>
      <w:r w:rsidR="007276D4" w:rsidRPr="007501C8">
        <w:rPr>
          <w:rFonts w:asciiTheme="minorHAnsi" w:hAnsiTheme="minorHAnsi" w:cstheme="minorHAnsi"/>
          <w:sz w:val="24"/>
          <w:szCs w:val="24"/>
        </w:rPr>
        <w:t>been plagued by</w:t>
      </w:r>
      <w:r>
        <w:rPr>
          <w:rFonts w:asciiTheme="minorHAnsi" w:hAnsiTheme="minorHAnsi" w:cstheme="minorHAnsi"/>
          <w:sz w:val="24"/>
          <w:szCs w:val="24"/>
        </w:rPr>
        <w:t>,</w:t>
      </w:r>
      <w:r w:rsidR="007276D4" w:rsidRPr="007501C8">
        <w:rPr>
          <w:rFonts w:asciiTheme="minorHAnsi" w:hAnsiTheme="minorHAnsi" w:cstheme="minorHAnsi"/>
          <w:sz w:val="24"/>
          <w:szCs w:val="24"/>
        </w:rPr>
        <w:t xml:space="preserve"> </w:t>
      </w:r>
      <w:r w:rsidR="00BF523E" w:rsidRPr="007501C8">
        <w:rPr>
          <w:rFonts w:asciiTheme="minorHAnsi" w:hAnsiTheme="minorHAnsi" w:cstheme="minorHAnsi"/>
          <w:sz w:val="24"/>
          <w:szCs w:val="24"/>
        </w:rPr>
        <w:t xml:space="preserve">the Post Office’s </w:t>
      </w:r>
      <w:r>
        <w:rPr>
          <w:rFonts w:asciiTheme="minorHAnsi" w:hAnsiTheme="minorHAnsi" w:cstheme="minorHAnsi"/>
          <w:sz w:val="24"/>
          <w:szCs w:val="24"/>
        </w:rPr>
        <w:t>disclosure</w:t>
      </w:r>
      <w:r w:rsidR="00F76B88">
        <w:rPr>
          <w:rFonts w:asciiTheme="minorHAnsi" w:hAnsiTheme="minorHAnsi" w:cstheme="minorHAnsi"/>
          <w:sz w:val="24"/>
          <w:szCs w:val="24"/>
        </w:rPr>
        <w:t xml:space="preserve"> failures. </w:t>
      </w:r>
      <w:r w:rsidR="007D70EE">
        <w:rPr>
          <w:rFonts w:asciiTheme="minorHAnsi" w:hAnsiTheme="minorHAnsi" w:cstheme="minorHAnsi"/>
          <w:sz w:val="24"/>
          <w:szCs w:val="24"/>
        </w:rPr>
        <w:t xml:space="preserve"> T</w:t>
      </w:r>
      <w:r w:rsidR="00F76B88">
        <w:rPr>
          <w:rFonts w:asciiTheme="minorHAnsi" w:hAnsiTheme="minorHAnsi" w:cstheme="minorHAnsi"/>
          <w:sz w:val="24"/>
          <w:szCs w:val="24"/>
        </w:rPr>
        <w:t xml:space="preserve">here is the original failure to </w:t>
      </w:r>
      <w:r w:rsidR="00BF523E" w:rsidRPr="007501C8">
        <w:rPr>
          <w:rFonts w:asciiTheme="minorHAnsi" w:hAnsiTheme="minorHAnsi" w:cstheme="minorHAnsi"/>
          <w:sz w:val="24"/>
          <w:szCs w:val="24"/>
        </w:rPr>
        <w:t xml:space="preserve">fully and properly </w:t>
      </w:r>
      <w:r w:rsidR="00F76B88">
        <w:rPr>
          <w:rFonts w:asciiTheme="minorHAnsi" w:hAnsiTheme="minorHAnsi" w:cstheme="minorHAnsi"/>
          <w:sz w:val="24"/>
          <w:szCs w:val="24"/>
        </w:rPr>
        <w:t xml:space="preserve">comply with </w:t>
      </w:r>
      <w:r w:rsidR="00BF523E" w:rsidRPr="007501C8">
        <w:rPr>
          <w:rFonts w:asciiTheme="minorHAnsi" w:hAnsiTheme="minorHAnsi" w:cstheme="minorHAnsi"/>
          <w:sz w:val="24"/>
          <w:szCs w:val="24"/>
        </w:rPr>
        <w:t>their disclosure obligations</w:t>
      </w:r>
      <w:r w:rsidR="00F76B88">
        <w:rPr>
          <w:rFonts w:asciiTheme="minorHAnsi" w:hAnsiTheme="minorHAnsi" w:cstheme="minorHAnsi"/>
          <w:sz w:val="24"/>
          <w:szCs w:val="24"/>
        </w:rPr>
        <w:t xml:space="preserve"> under earlier Rule 9 requests and the ongoing failure, </w:t>
      </w:r>
      <w:r w:rsidR="007D70EE">
        <w:rPr>
          <w:rFonts w:asciiTheme="minorHAnsi" w:hAnsiTheme="minorHAnsi" w:cstheme="minorHAnsi"/>
          <w:sz w:val="24"/>
          <w:szCs w:val="24"/>
        </w:rPr>
        <w:t>for whatever reasons, to p</w:t>
      </w:r>
      <w:r w:rsidR="00F76B88">
        <w:rPr>
          <w:rFonts w:asciiTheme="minorHAnsi" w:hAnsiTheme="minorHAnsi" w:cstheme="minorHAnsi"/>
          <w:sz w:val="24"/>
          <w:szCs w:val="24"/>
        </w:rPr>
        <w:t xml:space="preserve">rovide documents which are relevant not only to forthcoming phases but which may also have been relevant to this and previous phases.  </w:t>
      </w:r>
    </w:p>
    <w:p w14:paraId="19A3248D" w14:textId="23F2AFDB" w:rsidR="007C1D78" w:rsidRDefault="00BF523E"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 xml:space="preserve">It </w:t>
      </w:r>
      <w:r w:rsidR="005016BA">
        <w:rPr>
          <w:rFonts w:asciiTheme="minorHAnsi" w:hAnsiTheme="minorHAnsi" w:cstheme="minorHAnsi"/>
          <w:sz w:val="24"/>
          <w:szCs w:val="24"/>
        </w:rPr>
        <w:t xml:space="preserve">appears </w:t>
      </w:r>
      <w:r w:rsidRPr="007501C8">
        <w:rPr>
          <w:rFonts w:asciiTheme="minorHAnsi" w:hAnsiTheme="minorHAnsi" w:cstheme="minorHAnsi"/>
          <w:sz w:val="24"/>
          <w:szCs w:val="24"/>
        </w:rPr>
        <w:t xml:space="preserve">from </w:t>
      </w:r>
      <w:r w:rsidR="007D70EE">
        <w:rPr>
          <w:rFonts w:asciiTheme="minorHAnsi" w:hAnsiTheme="minorHAnsi" w:cstheme="minorHAnsi"/>
          <w:sz w:val="24"/>
          <w:szCs w:val="24"/>
        </w:rPr>
        <w:t xml:space="preserve">the </w:t>
      </w:r>
      <w:r w:rsidRPr="007501C8">
        <w:rPr>
          <w:rFonts w:asciiTheme="minorHAnsi" w:hAnsiTheme="minorHAnsi" w:cstheme="minorHAnsi"/>
          <w:sz w:val="24"/>
          <w:szCs w:val="24"/>
        </w:rPr>
        <w:t xml:space="preserve">Phase 4 evidence that </w:t>
      </w:r>
      <w:r w:rsidR="005016BA">
        <w:rPr>
          <w:rFonts w:asciiTheme="minorHAnsi" w:hAnsiTheme="minorHAnsi" w:cstheme="minorHAnsi"/>
          <w:sz w:val="24"/>
          <w:szCs w:val="24"/>
        </w:rPr>
        <w:t>there is</w:t>
      </w:r>
      <w:r w:rsidRPr="007501C8">
        <w:rPr>
          <w:rFonts w:asciiTheme="minorHAnsi" w:hAnsiTheme="minorHAnsi" w:cstheme="minorHAnsi"/>
          <w:sz w:val="24"/>
          <w:szCs w:val="24"/>
        </w:rPr>
        <w:t xml:space="preserve"> a culture within the Post Office and </w:t>
      </w:r>
      <w:r w:rsidR="007D70EE">
        <w:rPr>
          <w:rFonts w:asciiTheme="minorHAnsi" w:hAnsiTheme="minorHAnsi" w:cstheme="minorHAnsi"/>
          <w:sz w:val="24"/>
          <w:szCs w:val="24"/>
        </w:rPr>
        <w:t xml:space="preserve">those who work with them, </w:t>
      </w:r>
      <w:r w:rsidRPr="007501C8">
        <w:rPr>
          <w:rFonts w:asciiTheme="minorHAnsi" w:hAnsiTheme="minorHAnsi" w:cstheme="minorHAnsi"/>
          <w:sz w:val="24"/>
          <w:szCs w:val="24"/>
        </w:rPr>
        <w:t xml:space="preserve">that </w:t>
      </w:r>
      <w:r w:rsidR="00F22CA2" w:rsidRPr="007501C8">
        <w:rPr>
          <w:rFonts w:asciiTheme="minorHAnsi" w:hAnsiTheme="minorHAnsi" w:cstheme="minorHAnsi"/>
          <w:sz w:val="24"/>
          <w:szCs w:val="24"/>
        </w:rPr>
        <w:t xml:space="preserve">understanding and </w:t>
      </w:r>
      <w:r w:rsidRPr="007501C8">
        <w:rPr>
          <w:rFonts w:asciiTheme="minorHAnsi" w:hAnsiTheme="minorHAnsi" w:cstheme="minorHAnsi"/>
          <w:sz w:val="24"/>
          <w:szCs w:val="24"/>
        </w:rPr>
        <w:t xml:space="preserve">ensuring </w:t>
      </w:r>
      <w:r w:rsidR="00F22CA2" w:rsidRPr="007501C8">
        <w:rPr>
          <w:rFonts w:asciiTheme="minorHAnsi" w:hAnsiTheme="minorHAnsi" w:cstheme="minorHAnsi"/>
          <w:sz w:val="24"/>
          <w:szCs w:val="24"/>
        </w:rPr>
        <w:t xml:space="preserve">that </w:t>
      </w:r>
      <w:r w:rsidRPr="007501C8">
        <w:rPr>
          <w:rFonts w:asciiTheme="minorHAnsi" w:hAnsiTheme="minorHAnsi" w:cstheme="minorHAnsi"/>
          <w:sz w:val="24"/>
          <w:szCs w:val="24"/>
        </w:rPr>
        <w:t xml:space="preserve">proper disclosure has occurred is </w:t>
      </w:r>
      <w:r w:rsidR="00830245">
        <w:rPr>
          <w:rFonts w:asciiTheme="minorHAnsi" w:hAnsiTheme="minorHAnsi" w:cstheme="minorHAnsi"/>
          <w:sz w:val="24"/>
          <w:szCs w:val="24"/>
        </w:rPr>
        <w:t xml:space="preserve">always </w:t>
      </w:r>
      <w:r w:rsidRPr="007501C8">
        <w:rPr>
          <w:rFonts w:asciiTheme="minorHAnsi" w:hAnsiTheme="minorHAnsi" w:cstheme="minorHAnsi"/>
          <w:sz w:val="24"/>
          <w:szCs w:val="24"/>
        </w:rPr>
        <w:t>some</w:t>
      </w:r>
      <w:r w:rsidR="00830245">
        <w:rPr>
          <w:rFonts w:asciiTheme="minorHAnsi" w:hAnsiTheme="minorHAnsi" w:cstheme="minorHAnsi"/>
          <w:sz w:val="24"/>
          <w:szCs w:val="24"/>
        </w:rPr>
        <w:t>one</w:t>
      </w:r>
      <w:r w:rsidRPr="007501C8">
        <w:rPr>
          <w:rFonts w:asciiTheme="minorHAnsi" w:hAnsiTheme="minorHAnsi" w:cstheme="minorHAnsi"/>
          <w:sz w:val="24"/>
          <w:szCs w:val="24"/>
        </w:rPr>
        <w:t xml:space="preserve"> else’s responsibility</w:t>
      </w:r>
      <w:r w:rsidR="006A5AC4" w:rsidRPr="007501C8">
        <w:rPr>
          <w:rFonts w:asciiTheme="minorHAnsi" w:hAnsiTheme="minorHAnsi" w:cstheme="minorHAnsi"/>
          <w:sz w:val="24"/>
          <w:szCs w:val="24"/>
        </w:rPr>
        <w:t xml:space="preserve">, and </w:t>
      </w:r>
      <w:r w:rsidR="00830245">
        <w:rPr>
          <w:rFonts w:asciiTheme="minorHAnsi" w:hAnsiTheme="minorHAnsi" w:cstheme="minorHAnsi"/>
          <w:sz w:val="24"/>
          <w:szCs w:val="24"/>
        </w:rPr>
        <w:t xml:space="preserve">then to </w:t>
      </w:r>
      <w:r w:rsidR="006A5AC4" w:rsidRPr="007501C8">
        <w:rPr>
          <w:rFonts w:asciiTheme="minorHAnsi" w:hAnsiTheme="minorHAnsi" w:cstheme="minorHAnsi"/>
          <w:sz w:val="24"/>
          <w:szCs w:val="24"/>
        </w:rPr>
        <w:t>blam</w:t>
      </w:r>
      <w:r w:rsidR="00830245">
        <w:rPr>
          <w:rFonts w:asciiTheme="minorHAnsi" w:hAnsiTheme="minorHAnsi" w:cstheme="minorHAnsi"/>
          <w:sz w:val="24"/>
          <w:szCs w:val="24"/>
        </w:rPr>
        <w:t>e</w:t>
      </w:r>
      <w:r w:rsidR="006A5AC4" w:rsidRPr="007501C8">
        <w:rPr>
          <w:rFonts w:asciiTheme="minorHAnsi" w:hAnsiTheme="minorHAnsi" w:cstheme="minorHAnsi"/>
          <w:sz w:val="24"/>
          <w:szCs w:val="24"/>
        </w:rPr>
        <w:t xml:space="preserve"> others when this has not occurred.</w:t>
      </w:r>
      <w:r w:rsidRPr="007501C8">
        <w:rPr>
          <w:rFonts w:asciiTheme="minorHAnsi" w:hAnsiTheme="minorHAnsi" w:cstheme="minorHAnsi"/>
          <w:sz w:val="24"/>
          <w:szCs w:val="24"/>
        </w:rPr>
        <w:t xml:space="preserve"> </w:t>
      </w:r>
      <w:r w:rsidR="00A862EB" w:rsidRPr="007501C8">
        <w:rPr>
          <w:rFonts w:asciiTheme="minorHAnsi" w:hAnsiTheme="minorHAnsi" w:cstheme="minorHAnsi"/>
          <w:sz w:val="24"/>
          <w:szCs w:val="24"/>
        </w:rPr>
        <w:t>Investigators</w:t>
      </w:r>
      <w:r w:rsidR="00BB41C8" w:rsidRPr="007501C8">
        <w:rPr>
          <w:rFonts w:asciiTheme="minorHAnsi" w:hAnsiTheme="minorHAnsi" w:cstheme="minorHAnsi"/>
          <w:sz w:val="24"/>
          <w:szCs w:val="24"/>
        </w:rPr>
        <w:t>, including the Head of Security,</w:t>
      </w:r>
      <w:r w:rsidRPr="007501C8">
        <w:rPr>
          <w:rFonts w:asciiTheme="minorHAnsi" w:hAnsiTheme="minorHAnsi" w:cstheme="minorHAnsi"/>
          <w:sz w:val="24"/>
          <w:szCs w:val="24"/>
        </w:rPr>
        <w:t xml:space="preserve"> </w:t>
      </w:r>
      <w:r w:rsidR="006A5AC4" w:rsidRPr="007501C8">
        <w:rPr>
          <w:rFonts w:asciiTheme="minorHAnsi" w:hAnsiTheme="minorHAnsi" w:cstheme="minorHAnsi"/>
          <w:sz w:val="24"/>
          <w:szCs w:val="24"/>
        </w:rPr>
        <w:t>blame</w:t>
      </w:r>
      <w:r w:rsidRPr="007501C8">
        <w:rPr>
          <w:rFonts w:asciiTheme="minorHAnsi" w:hAnsiTheme="minorHAnsi" w:cstheme="minorHAnsi"/>
          <w:sz w:val="24"/>
          <w:szCs w:val="24"/>
        </w:rPr>
        <w:t xml:space="preserve"> the Criminal Legal Team, despite </w:t>
      </w:r>
      <w:r w:rsidR="00A862EB" w:rsidRPr="007501C8">
        <w:rPr>
          <w:rFonts w:asciiTheme="minorHAnsi" w:hAnsiTheme="minorHAnsi" w:cstheme="minorHAnsi"/>
          <w:sz w:val="24"/>
          <w:szCs w:val="24"/>
        </w:rPr>
        <w:t xml:space="preserve">usually </w:t>
      </w:r>
      <w:r w:rsidRPr="007501C8">
        <w:rPr>
          <w:rFonts w:asciiTheme="minorHAnsi" w:hAnsiTheme="minorHAnsi" w:cstheme="minorHAnsi"/>
          <w:sz w:val="24"/>
          <w:szCs w:val="24"/>
        </w:rPr>
        <w:t xml:space="preserve">being </w:t>
      </w:r>
      <w:r w:rsidR="00830245">
        <w:rPr>
          <w:rFonts w:asciiTheme="minorHAnsi" w:hAnsiTheme="minorHAnsi" w:cstheme="minorHAnsi"/>
          <w:sz w:val="24"/>
          <w:szCs w:val="24"/>
        </w:rPr>
        <w:t xml:space="preserve">the </w:t>
      </w:r>
      <w:r w:rsidRPr="007501C8">
        <w:rPr>
          <w:rFonts w:asciiTheme="minorHAnsi" w:hAnsiTheme="minorHAnsi" w:cstheme="minorHAnsi"/>
          <w:sz w:val="24"/>
          <w:szCs w:val="24"/>
        </w:rPr>
        <w:t>Disclosure Officer</w:t>
      </w:r>
      <w:r w:rsidR="00830245">
        <w:rPr>
          <w:rFonts w:asciiTheme="minorHAnsi" w:hAnsiTheme="minorHAnsi" w:cstheme="minorHAnsi"/>
          <w:sz w:val="24"/>
          <w:szCs w:val="24"/>
        </w:rPr>
        <w:t xml:space="preserve"> themselves</w:t>
      </w:r>
      <w:r w:rsidR="00F76B88">
        <w:rPr>
          <w:rFonts w:asciiTheme="minorHAnsi" w:hAnsiTheme="minorHAnsi" w:cstheme="minorHAnsi"/>
          <w:sz w:val="24"/>
          <w:szCs w:val="24"/>
        </w:rPr>
        <w:t xml:space="preserve"> (</w:t>
      </w:r>
      <w:r w:rsidR="00F76B88" w:rsidRPr="00F76B88">
        <w:rPr>
          <w:rFonts w:asciiTheme="minorHAnsi" w:hAnsiTheme="minorHAnsi" w:cstheme="minorHAnsi"/>
          <w:sz w:val="24"/>
          <w:szCs w:val="24"/>
        </w:rPr>
        <w:t xml:space="preserve">see, for instance the evidence of </w:t>
      </w:r>
      <w:r w:rsidR="00F76B88" w:rsidRPr="00F76B88">
        <w:rPr>
          <w:sz w:val="24"/>
          <w:szCs w:val="24"/>
        </w:rPr>
        <w:t>Stephen Bradshaw on the 11</w:t>
      </w:r>
      <w:r w:rsidR="00F76B88" w:rsidRPr="00F76B88">
        <w:rPr>
          <w:sz w:val="24"/>
          <w:szCs w:val="24"/>
          <w:vertAlign w:val="superscript"/>
        </w:rPr>
        <w:t>th</w:t>
      </w:r>
      <w:r w:rsidR="00F76B88" w:rsidRPr="00F76B88">
        <w:rPr>
          <w:sz w:val="24"/>
          <w:szCs w:val="24"/>
        </w:rPr>
        <w:t xml:space="preserve"> of January at pages 50 and 60-64 and also Tony Mar</w:t>
      </w:r>
      <w:r w:rsidR="004E7AF9">
        <w:rPr>
          <w:sz w:val="24"/>
          <w:szCs w:val="24"/>
        </w:rPr>
        <w:t>s</w:t>
      </w:r>
      <w:r w:rsidR="00F76B88" w:rsidRPr="00F76B88">
        <w:rPr>
          <w:sz w:val="24"/>
          <w:szCs w:val="24"/>
        </w:rPr>
        <w:t>h on the 5</w:t>
      </w:r>
      <w:r w:rsidR="00F76B88" w:rsidRPr="00F76B88">
        <w:rPr>
          <w:sz w:val="24"/>
          <w:szCs w:val="24"/>
          <w:vertAlign w:val="superscript"/>
        </w:rPr>
        <w:t>th</w:t>
      </w:r>
      <w:r w:rsidR="00F76B88" w:rsidRPr="00F76B88">
        <w:rPr>
          <w:sz w:val="24"/>
          <w:szCs w:val="24"/>
        </w:rPr>
        <w:t xml:space="preserve"> of July at page</w:t>
      </w:r>
      <w:r w:rsidR="004E7AF9">
        <w:rPr>
          <w:sz w:val="24"/>
          <w:szCs w:val="24"/>
        </w:rPr>
        <w:t xml:space="preserve"> 112</w:t>
      </w:r>
      <w:r w:rsidR="00F76B88">
        <w:t>)</w:t>
      </w:r>
      <w:r w:rsidR="007C1D78" w:rsidRPr="007501C8">
        <w:rPr>
          <w:rStyle w:val="EndnoteReference"/>
          <w:rFonts w:asciiTheme="minorHAnsi" w:hAnsiTheme="minorHAnsi" w:cstheme="minorHAnsi"/>
          <w:sz w:val="24"/>
          <w:szCs w:val="24"/>
        </w:rPr>
        <w:endnoteReference w:id="1"/>
      </w:r>
      <w:r w:rsidR="007C1D78">
        <w:t xml:space="preserve">. </w:t>
      </w:r>
      <w:r w:rsidR="007C1D78" w:rsidRPr="007501C8">
        <w:rPr>
          <w:rFonts w:asciiTheme="minorHAnsi" w:hAnsiTheme="minorHAnsi" w:cstheme="minorHAnsi"/>
          <w:sz w:val="24"/>
          <w:szCs w:val="24"/>
        </w:rPr>
        <w:t xml:space="preserve"> The Post Office Criminal Law Team allegedly relied upon investigators, their reports and their disclosure schedule despite </w:t>
      </w:r>
      <w:r w:rsidR="007C1D78">
        <w:rPr>
          <w:rFonts w:asciiTheme="minorHAnsi" w:hAnsiTheme="minorHAnsi" w:cstheme="minorHAnsi"/>
          <w:sz w:val="24"/>
          <w:szCs w:val="24"/>
        </w:rPr>
        <w:t xml:space="preserve">having </w:t>
      </w:r>
      <w:r w:rsidR="007C1D78" w:rsidRPr="007501C8">
        <w:rPr>
          <w:rFonts w:asciiTheme="minorHAnsi" w:hAnsiTheme="minorHAnsi" w:cstheme="minorHAnsi"/>
          <w:sz w:val="24"/>
          <w:szCs w:val="24"/>
        </w:rPr>
        <w:t>their</w:t>
      </w:r>
      <w:r w:rsidR="007C1D78">
        <w:rPr>
          <w:rFonts w:asciiTheme="minorHAnsi" w:hAnsiTheme="minorHAnsi" w:cstheme="minorHAnsi"/>
          <w:sz w:val="24"/>
          <w:szCs w:val="24"/>
        </w:rPr>
        <w:t xml:space="preserve"> own</w:t>
      </w:r>
      <w:r w:rsidR="007C1D78" w:rsidRPr="007501C8">
        <w:rPr>
          <w:rFonts w:asciiTheme="minorHAnsi" w:hAnsiTheme="minorHAnsi" w:cstheme="minorHAnsi"/>
          <w:sz w:val="24"/>
          <w:szCs w:val="24"/>
        </w:rPr>
        <w:t xml:space="preserve"> duties </w:t>
      </w:r>
      <w:r w:rsidR="007C1D78">
        <w:rPr>
          <w:rFonts w:asciiTheme="minorHAnsi" w:hAnsiTheme="minorHAnsi" w:cstheme="minorHAnsi"/>
          <w:sz w:val="24"/>
          <w:szCs w:val="24"/>
        </w:rPr>
        <w:t>in relation to disclosure (see for instance the evidence of Rob Wilson on 12</w:t>
      </w:r>
      <w:r w:rsidR="007C1D78" w:rsidRPr="007D70EE">
        <w:rPr>
          <w:rFonts w:asciiTheme="minorHAnsi" w:hAnsiTheme="minorHAnsi" w:cstheme="minorHAnsi"/>
          <w:sz w:val="24"/>
          <w:szCs w:val="24"/>
          <w:vertAlign w:val="superscript"/>
        </w:rPr>
        <w:t>th</w:t>
      </w:r>
      <w:r w:rsidR="007C1D78">
        <w:rPr>
          <w:rFonts w:asciiTheme="minorHAnsi" w:hAnsiTheme="minorHAnsi" w:cstheme="minorHAnsi"/>
          <w:sz w:val="24"/>
          <w:szCs w:val="24"/>
        </w:rPr>
        <w:t xml:space="preserve"> of October at pages 25 and 98-104)</w:t>
      </w:r>
      <w:r w:rsidR="007C1D78" w:rsidRPr="007501C8">
        <w:rPr>
          <w:rFonts w:asciiTheme="minorHAnsi" w:hAnsiTheme="minorHAnsi" w:cstheme="minorHAnsi"/>
          <w:sz w:val="24"/>
          <w:szCs w:val="24"/>
        </w:rPr>
        <w:t>.</w:t>
      </w:r>
      <w:r w:rsidR="007C1D78" w:rsidRPr="007501C8">
        <w:rPr>
          <w:rStyle w:val="EndnoteReference"/>
          <w:rFonts w:asciiTheme="minorHAnsi" w:hAnsiTheme="minorHAnsi" w:cstheme="minorHAnsi"/>
          <w:sz w:val="24"/>
          <w:szCs w:val="24"/>
        </w:rPr>
        <w:endnoteReference w:id="2"/>
      </w:r>
      <w:r w:rsidR="007C1D78" w:rsidRPr="007501C8">
        <w:rPr>
          <w:rFonts w:asciiTheme="minorHAnsi" w:hAnsiTheme="minorHAnsi" w:cstheme="minorHAnsi"/>
          <w:sz w:val="24"/>
          <w:szCs w:val="24"/>
        </w:rPr>
        <w:t xml:space="preserve"> The external legal team blame</w:t>
      </w:r>
      <w:r w:rsidR="007C1D78">
        <w:rPr>
          <w:rFonts w:asciiTheme="minorHAnsi" w:hAnsiTheme="minorHAnsi" w:cstheme="minorHAnsi"/>
          <w:sz w:val="24"/>
          <w:szCs w:val="24"/>
        </w:rPr>
        <w:t>d</w:t>
      </w:r>
      <w:r w:rsidR="007C1D78" w:rsidRPr="007501C8">
        <w:rPr>
          <w:rFonts w:asciiTheme="minorHAnsi" w:hAnsiTheme="minorHAnsi" w:cstheme="minorHAnsi"/>
          <w:sz w:val="24"/>
          <w:szCs w:val="24"/>
        </w:rPr>
        <w:t xml:space="preserve"> the Post Office’s instructions regarding this</w:t>
      </w:r>
      <w:r w:rsidR="007C1D78">
        <w:rPr>
          <w:rFonts w:asciiTheme="minorHAnsi" w:hAnsiTheme="minorHAnsi" w:cstheme="minorHAnsi"/>
          <w:sz w:val="24"/>
          <w:szCs w:val="24"/>
        </w:rPr>
        <w:t xml:space="preserve"> (see the evidence of Andrew </w:t>
      </w:r>
      <w:proofErr w:type="spellStart"/>
      <w:r w:rsidR="007C1D78">
        <w:rPr>
          <w:rFonts w:asciiTheme="minorHAnsi" w:hAnsiTheme="minorHAnsi" w:cstheme="minorHAnsi"/>
          <w:sz w:val="24"/>
          <w:szCs w:val="24"/>
        </w:rPr>
        <w:t>Bolc</w:t>
      </w:r>
      <w:proofErr w:type="spellEnd"/>
      <w:r w:rsidR="007C1D78">
        <w:rPr>
          <w:rFonts w:asciiTheme="minorHAnsi" w:hAnsiTheme="minorHAnsi" w:cstheme="minorHAnsi"/>
          <w:sz w:val="24"/>
          <w:szCs w:val="24"/>
        </w:rPr>
        <w:t xml:space="preserve"> on 15</w:t>
      </w:r>
      <w:r w:rsidR="007C1D78" w:rsidRPr="00925064">
        <w:rPr>
          <w:rFonts w:asciiTheme="minorHAnsi" w:hAnsiTheme="minorHAnsi" w:cstheme="minorHAnsi"/>
          <w:sz w:val="24"/>
          <w:szCs w:val="24"/>
          <w:vertAlign w:val="superscript"/>
        </w:rPr>
        <w:t>th</w:t>
      </w:r>
      <w:r w:rsidR="007C1D78">
        <w:rPr>
          <w:rFonts w:asciiTheme="minorHAnsi" w:hAnsiTheme="minorHAnsi" w:cstheme="minorHAnsi"/>
          <w:sz w:val="24"/>
          <w:szCs w:val="24"/>
        </w:rPr>
        <w:t xml:space="preserve"> of December at pages 86 and 115)</w:t>
      </w:r>
      <w:r w:rsidR="007C1D78" w:rsidRPr="007501C8">
        <w:rPr>
          <w:rFonts w:asciiTheme="minorHAnsi" w:hAnsiTheme="minorHAnsi" w:cstheme="minorHAnsi"/>
          <w:sz w:val="24"/>
          <w:szCs w:val="24"/>
        </w:rPr>
        <w:t>,</w:t>
      </w:r>
      <w:r w:rsidR="007C1D78" w:rsidRPr="007501C8">
        <w:rPr>
          <w:rStyle w:val="EndnoteReference"/>
          <w:rFonts w:asciiTheme="minorHAnsi" w:hAnsiTheme="minorHAnsi" w:cstheme="minorHAnsi"/>
          <w:sz w:val="24"/>
          <w:szCs w:val="24"/>
        </w:rPr>
        <w:endnoteReference w:id="3"/>
      </w:r>
      <w:r w:rsidR="007C1D78" w:rsidRPr="007501C8">
        <w:rPr>
          <w:rFonts w:asciiTheme="minorHAnsi" w:hAnsiTheme="minorHAnsi" w:cstheme="minorHAnsi"/>
          <w:sz w:val="24"/>
          <w:szCs w:val="24"/>
        </w:rPr>
        <w:t xml:space="preserve"> and expected to be told if there was a problem</w:t>
      </w:r>
      <w:r w:rsidR="007C1D78">
        <w:rPr>
          <w:rFonts w:asciiTheme="minorHAnsi" w:hAnsiTheme="minorHAnsi" w:cstheme="minorHAnsi"/>
          <w:sz w:val="24"/>
          <w:szCs w:val="24"/>
        </w:rPr>
        <w:t xml:space="preserve">.  All of this </w:t>
      </w:r>
      <w:r w:rsidR="007C1D78" w:rsidRPr="007501C8">
        <w:rPr>
          <w:rFonts w:asciiTheme="minorHAnsi" w:hAnsiTheme="minorHAnsi" w:cstheme="minorHAnsi"/>
          <w:sz w:val="24"/>
          <w:szCs w:val="24"/>
        </w:rPr>
        <w:t xml:space="preserve">despite the duty to ensure all disclosable documents </w:t>
      </w:r>
      <w:r w:rsidR="007C1D78">
        <w:rPr>
          <w:rFonts w:asciiTheme="minorHAnsi" w:hAnsiTheme="minorHAnsi" w:cstheme="minorHAnsi"/>
          <w:sz w:val="24"/>
          <w:szCs w:val="24"/>
        </w:rPr>
        <w:t xml:space="preserve">were to be </w:t>
      </w:r>
      <w:r w:rsidR="007C1D78" w:rsidRPr="007501C8">
        <w:rPr>
          <w:rFonts w:asciiTheme="minorHAnsi" w:hAnsiTheme="minorHAnsi" w:cstheme="minorHAnsi"/>
          <w:sz w:val="24"/>
          <w:szCs w:val="24"/>
        </w:rPr>
        <w:t xml:space="preserve">made available to the court. </w:t>
      </w:r>
    </w:p>
    <w:p w14:paraId="53BC8166" w14:textId="2EB4EE94" w:rsidR="007C1D78" w:rsidRPr="007501C8" w:rsidRDefault="007C1D78" w:rsidP="007501C8">
      <w:pPr>
        <w:pStyle w:val="ListParagraph"/>
        <w:numPr>
          <w:ilvl w:val="0"/>
          <w:numId w:val="6"/>
        </w:numPr>
        <w:spacing w:line="480" w:lineRule="auto"/>
        <w:rPr>
          <w:rFonts w:asciiTheme="minorHAnsi" w:hAnsiTheme="minorHAnsi" w:cstheme="minorHAnsi"/>
          <w:sz w:val="24"/>
          <w:szCs w:val="24"/>
        </w:rPr>
      </w:pPr>
      <w:r>
        <w:rPr>
          <w:rFonts w:asciiTheme="minorHAnsi" w:hAnsiTheme="minorHAnsi" w:cstheme="minorHAnsi"/>
          <w:sz w:val="24"/>
          <w:szCs w:val="24"/>
        </w:rPr>
        <w:lastRenderedPageBreak/>
        <w:t xml:space="preserve">And as a result of the failures by the Post Office either to obtain all of the relevant and necessary documents which would, for instance, show transactions, or to </w:t>
      </w:r>
      <w:r w:rsidRPr="007501C8">
        <w:rPr>
          <w:rFonts w:asciiTheme="minorHAnsi" w:hAnsiTheme="minorHAnsi" w:cstheme="minorHAnsi"/>
          <w:sz w:val="24"/>
          <w:szCs w:val="24"/>
        </w:rPr>
        <w:t>full</w:t>
      </w:r>
      <w:r>
        <w:rPr>
          <w:rFonts w:asciiTheme="minorHAnsi" w:hAnsiTheme="minorHAnsi" w:cstheme="minorHAnsi"/>
          <w:sz w:val="24"/>
          <w:szCs w:val="24"/>
        </w:rPr>
        <w:t>y</w:t>
      </w:r>
      <w:r w:rsidRPr="007501C8">
        <w:rPr>
          <w:rFonts w:asciiTheme="minorHAnsi" w:hAnsiTheme="minorHAnsi" w:cstheme="minorHAnsi"/>
          <w:sz w:val="24"/>
          <w:szCs w:val="24"/>
        </w:rPr>
        <w:t xml:space="preserve"> disclos</w:t>
      </w:r>
      <w:r>
        <w:rPr>
          <w:rFonts w:asciiTheme="minorHAnsi" w:hAnsiTheme="minorHAnsi" w:cstheme="minorHAnsi"/>
          <w:sz w:val="24"/>
          <w:szCs w:val="24"/>
        </w:rPr>
        <w:t>e what was known about Horizon, or both of those things, postmasters and others accused of theft, embezzlement, false accounting and other crimes</w:t>
      </w:r>
      <w:r w:rsidRPr="007501C8">
        <w:rPr>
          <w:rFonts w:asciiTheme="minorHAnsi" w:hAnsiTheme="minorHAnsi" w:cstheme="minorHAnsi"/>
          <w:sz w:val="24"/>
          <w:szCs w:val="24"/>
        </w:rPr>
        <w:t xml:space="preserve">, </w:t>
      </w:r>
      <w:r>
        <w:rPr>
          <w:rFonts w:asciiTheme="minorHAnsi" w:hAnsiTheme="minorHAnsi" w:cstheme="minorHAnsi"/>
          <w:sz w:val="24"/>
          <w:szCs w:val="24"/>
        </w:rPr>
        <w:t xml:space="preserve">and those representing them, didn’t stand a chance of proving their innocence.   </w:t>
      </w:r>
    </w:p>
    <w:p w14:paraId="371BC816" w14:textId="7A4B1B11" w:rsidR="007C1D78" w:rsidRPr="009A1471" w:rsidRDefault="007C1D78" w:rsidP="009A1471">
      <w:pPr>
        <w:pStyle w:val="FootnoteText"/>
        <w:numPr>
          <w:ilvl w:val="0"/>
          <w:numId w:val="6"/>
        </w:numPr>
        <w:spacing w:line="480" w:lineRule="auto"/>
        <w:rPr>
          <w:sz w:val="24"/>
          <w:szCs w:val="24"/>
        </w:rPr>
      </w:pPr>
      <w:r w:rsidRPr="009A1471">
        <w:rPr>
          <w:rFonts w:asciiTheme="minorHAnsi" w:hAnsiTheme="minorHAnsi" w:cstheme="minorHAnsi"/>
          <w:sz w:val="24"/>
          <w:szCs w:val="24"/>
        </w:rPr>
        <w:t>The NFSP believes the evidence shows that Post Office</w:t>
      </w:r>
      <w:r>
        <w:rPr>
          <w:rFonts w:asciiTheme="minorHAnsi" w:hAnsiTheme="minorHAnsi" w:cstheme="minorHAnsi"/>
          <w:sz w:val="24"/>
          <w:szCs w:val="24"/>
        </w:rPr>
        <w:t>,</w:t>
      </w:r>
      <w:r w:rsidRPr="009A1471">
        <w:rPr>
          <w:rFonts w:asciiTheme="minorHAnsi" w:hAnsiTheme="minorHAnsi" w:cstheme="minorHAnsi"/>
          <w:sz w:val="24"/>
          <w:szCs w:val="24"/>
        </w:rPr>
        <w:t xml:space="preserve"> and those instructed by them to pursue action against Horizon users</w:t>
      </w:r>
      <w:r>
        <w:rPr>
          <w:rFonts w:asciiTheme="minorHAnsi" w:hAnsiTheme="minorHAnsi" w:cstheme="minorHAnsi"/>
          <w:sz w:val="24"/>
          <w:szCs w:val="24"/>
        </w:rPr>
        <w:t>,</w:t>
      </w:r>
      <w:r w:rsidRPr="009A1471">
        <w:rPr>
          <w:rFonts w:asciiTheme="minorHAnsi" w:hAnsiTheme="minorHAnsi" w:cstheme="minorHAnsi"/>
          <w:sz w:val="24"/>
          <w:szCs w:val="24"/>
        </w:rPr>
        <w:t xml:space="preserve"> failed to provide full disclosure to those subject to investigations and court actions. They failed to provide full disclosure to those they investigated, especially if they were not represented (see the evidence of </w:t>
      </w:r>
      <w:r w:rsidRPr="009A1471">
        <w:rPr>
          <w:sz w:val="24"/>
          <w:szCs w:val="24"/>
        </w:rPr>
        <w:t>Tony Marsh</w:t>
      </w:r>
      <w:r>
        <w:rPr>
          <w:sz w:val="24"/>
          <w:szCs w:val="24"/>
        </w:rPr>
        <w:t xml:space="preserve"> on the</w:t>
      </w:r>
      <w:r w:rsidRPr="009A1471">
        <w:rPr>
          <w:sz w:val="24"/>
          <w:szCs w:val="24"/>
        </w:rPr>
        <w:t xml:space="preserve"> 5</w:t>
      </w:r>
      <w:r w:rsidRPr="009A1471">
        <w:rPr>
          <w:sz w:val="24"/>
          <w:szCs w:val="24"/>
          <w:vertAlign w:val="superscript"/>
        </w:rPr>
        <w:t>th</w:t>
      </w:r>
      <w:r>
        <w:rPr>
          <w:sz w:val="24"/>
          <w:szCs w:val="24"/>
        </w:rPr>
        <w:t xml:space="preserve"> of </w:t>
      </w:r>
      <w:r w:rsidRPr="009A1471">
        <w:rPr>
          <w:sz w:val="24"/>
          <w:szCs w:val="24"/>
        </w:rPr>
        <w:t>July</w:t>
      </w:r>
      <w:r>
        <w:rPr>
          <w:sz w:val="24"/>
          <w:szCs w:val="24"/>
        </w:rPr>
        <w:t xml:space="preserve"> at pages</w:t>
      </w:r>
      <w:r w:rsidRPr="009A1471">
        <w:rPr>
          <w:sz w:val="24"/>
          <w:szCs w:val="24"/>
        </w:rPr>
        <w:t xml:space="preserve"> 100 – 112; Graham Brander</w:t>
      </w:r>
      <w:r>
        <w:rPr>
          <w:sz w:val="24"/>
          <w:szCs w:val="24"/>
        </w:rPr>
        <w:t xml:space="preserve"> on</w:t>
      </w:r>
      <w:r w:rsidRPr="009A1471">
        <w:rPr>
          <w:sz w:val="24"/>
          <w:szCs w:val="24"/>
        </w:rPr>
        <w:t xml:space="preserve"> 28</w:t>
      </w:r>
      <w:r w:rsidRPr="009A1471">
        <w:rPr>
          <w:sz w:val="24"/>
          <w:szCs w:val="24"/>
          <w:vertAlign w:val="superscript"/>
        </w:rPr>
        <w:t>th</w:t>
      </w:r>
      <w:r>
        <w:rPr>
          <w:sz w:val="24"/>
          <w:szCs w:val="24"/>
        </w:rPr>
        <w:t xml:space="preserve"> of </w:t>
      </w:r>
      <w:r w:rsidRPr="009A1471">
        <w:rPr>
          <w:sz w:val="24"/>
          <w:szCs w:val="24"/>
        </w:rPr>
        <w:t>November</w:t>
      </w:r>
      <w:r>
        <w:rPr>
          <w:sz w:val="24"/>
          <w:szCs w:val="24"/>
        </w:rPr>
        <w:t xml:space="preserve"> at pages </w:t>
      </w:r>
      <w:r w:rsidRPr="009A1471">
        <w:rPr>
          <w:sz w:val="24"/>
          <w:szCs w:val="24"/>
        </w:rPr>
        <w:t>21-22</w:t>
      </w:r>
      <w:r>
        <w:rPr>
          <w:sz w:val="24"/>
          <w:szCs w:val="24"/>
        </w:rPr>
        <w:t xml:space="preserve"> and more recently Robert Daily on 23</w:t>
      </w:r>
      <w:r w:rsidRPr="004723F2">
        <w:rPr>
          <w:sz w:val="24"/>
          <w:szCs w:val="24"/>
          <w:vertAlign w:val="superscript"/>
        </w:rPr>
        <w:t>rd</w:t>
      </w:r>
      <w:r>
        <w:rPr>
          <w:sz w:val="24"/>
          <w:szCs w:val="24"/>
        </w:rPr>
        <w:t xml:space="preserve"> January).</w:t>
      </w:r>
      <w:r w:rsidRPr="007501C8">
        <w:rPr>
          <w:rStyle w:val="EndnoteReference"/>
          <w:rFonts w:asciiTheme="minorHAnsi" w:hAnsiTheme="minorHAnsi" w:cstheme="minorHAnsi"/>
          <w:sz w:val="24"/>
          <w:szCs w:val="24"/>
        </w:rPr>
        <w:endnoteReference w:id="4"/>
      </w:r>
      <w:r w:rsidRPr="007501C8">
        <w:rPr>
          <w:rFonts w:asciiTheme="minorHAnsi" w:hAnsiTheme="minorHAnsi" w:cstheme="minorHAnsi"/>
          <w:sz w:val="24"/>
          <w:szCs w:val="24"/>
        </w:rPr>
        <w:t xml:space="preserve"> </w:t>
      </w:r>
    </w:p>
    <w:p w14:paraId="355D3D42" w14:textId="0FDEFEDA" w:rsidR="007C1D78" w:rsidRPr="007501C8" w:rsidRDefault="007C1D78"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The NFSP considers that th</w:t>
      </w:r>
      <w:r>
        <w:rPr>
          <w:rFonts w:asciiTheme="minorHAnsi" w:hAnsiTheme="minorHAnsi" w:cstheme="minorHAnsi"/>
          <w:sz w:val="24"/>
          <w:szCs w:val="24"/>
        </w:rPr>
        <w:t>is evidence shows the</w:t>
      </w:r>
      <w:r w:rsidRPr="007501C8">
        <w:rPr>
          <w:rFonts w:asciiTheme="minorHAnsi" w:hAnsiTheme="minorHAnsi" w:cstheme="minorHAnsi"/>
          <w:sz w:val="24"/>
          <w:szCs w:val="24"/>
        </w:rPr>
        <w:t xml:space="preserve"> Post Office ha</w:t>
      </w:r>
      <w:r>
        <w:rPr>
          <w:rFonts w:asciiTheme="minorHAnsi" w:hAnsiTheme="minorHAnsi" w:cstheme="minorHAnsi"/>
          <w:sz w:val="24"/>
          <w:szCs w:val="24"/>
        </w:rPr>
        <w:t xml:space="preserve">s a past and ongoing issue with disclosure. In respect of how they investigated and prosecuted </w:t>
      </w:r>
      <w:proofErr w:type="spellStart"/>
      <w:r>
        <w:rPr>
          <w:rFonts w:asciiTheme="minorHAnsi" w:hAnsiTheme="minorHAnsi" w:cstheme="minorHAnsi"/>
          <w:sz w:val="24"/>
          <w:szCs w:val="24"/>
        </w:rPr>
        <w:t>subpostmasters</w:t>
      </w:r>
      <w:proofErr w:type="spellEnd"/>
      <w:r>
        <w:rPr>
          <w:rFonts w:asciiTheme="minorHAnsi" w:hAnsiTheme="minorHAnsi" w:cstheme="minorHAnsi"/>
          <w:sz w:val="24"/>
          <w:szCs w:val="24"/>
        </w:rPr>
        <w:t xml:space="preserve"> and others, there was the failure to </w:t>
      </w:r>
      <w:r w:rsidRPr="007501C8">
        <w:rPr>
          <w:rFonts w:asciiTheme="minorHAnsi" w:hAnsiTheme="minorHAnsi" w:cstheme="minorHAnsi"/>
          <w:sz w:val="24"/>
          <w:szCs w:val="24"/>
        </w:rPr>
        <w:t>routinely recover ARQ data due to the annual limit imposed contractually, beyond which Post Office would have to make payment Fujitsu</w:t>
      </w:r>
      <w:r>
        <w:rPr>
          <w:rFonts w:asciiTheme="minorHAnsi" w:hAnsiTheme="minorHAnsi" w:cstheme="minorHAnsi"/>
          <w:sz w:val="24"/>
          <w:szCs w:val="24"/>
        </w:rPr>
        <w:t xml:space="preserve"> (see, for instance, the evidence of </w:t>
      </w:r>
      <w:r w:rsidRPr="00F3668D">
        <w:rPr>
          <w:sz w:val="24"/>
          <w:szCs w:val="24"/>
        </w:rPr>
        <w:t>Natasha Bernard</w:t>
      </w:r>
      <w:r>
        <w:rPr>
          <w:sz w:val="24"/>
          <w:szCs w:val="24"/>
        </w:rPr>
        <w:t xml:space="preserve"> on the</w:t>
      </w:r>
      <w:r w:rsidRPr="00F3668D">
        <w:rPr>
          <w:sz w:val="24"/>
          <w:szCs w:val="24"/>
        </w:rPr>
        <w:t xml:space="preserve"> 10</w:t>
      </w:r>
      <w:r w:rsidRPr="00F3668D">
        <w:rPr>
          <w:sz w:val="24"/>
          <w:szCs w:val="24"/>
          <w:vertAlign w:val="superscript"/>
        </w:rPr>
        <w:t>th</w:t>
      </w:r>
      <w:r>
        <w:rPr>
          <w:sz w:val="24"/>
          <w:szCs w:val="24"/>
        </w:rPr>
        <w:t xml:space="preserve"> of </w:t>
      </w:r>
      <w:r w:rsidRPr="00F3668D">
        <w:rPr>
          <w:sz w:val="24"/>
          <w:szCs w:val="24"/>
        </w:rPr>
        <w:t>November</w:t>
      </w:r>
      <w:r>
        <w:rPr>
          <w:sz w:val="24"/>
          <w:szCs w:val="24"/>
        </w:rPr>
        <w:t xml:space="preserve"> at page 38; </w:t>
      </w:r>
      <w:r w:rsidRPr="00F3668D">
        <w:rPr>
          <w:sz w:val="24"/>
          <w:szCs w:val="24"/>
        </w:rPr>
        <w:t>Debbie Stapel</w:t>
      </w:r>
      <w:r>
        <w:rPr>
          <w:sz w:val="24"/>
          <w:szCs w:val="24"/>
        </w:rPr>
        <w:t xml:space="preserve"> on </w:t>
      </w:r>
      <w:r w:rsidRPr="00F3668D">
        <w:rPr>
          <w:sz w:val="24"/>
          <w:szCs w:val="24"/>
        </w:rPr>
        <w:t>14</w:t>
      </w:r>
      <w:r w:rsidRPr="00F3668D">
        <w:rPr>
          <w:sz w:val="24"/>
          <w:szCs w:val="24"/>
          <w:vertAlign w:val="superscript"/>
        </w:rPr>
        <w:t>th</w:t>
      </w:r>
      <w:r>
        <w:rPr>
          <w:sz w:val="24"/>
          <w:szCs w:val="24"/>
        </w:rPr>
        <w:t xml:space="preserve"> </w:t>
      </w:r>
      <w:r w:rsidRPr="00F3668D">
        <w:rPr>
          <w:sz w:val="24"/>
          <w:szCs w:val="24"/>
        </w:rPr>
        <w:t xml:space="preserve"> November</w:t>
      </w:r>
      <w:r>
        <w:rPr>
          <w:sz w:val="24"/>
          <w:szCs w:val="24"/>
        </w:rPr>
        <w:t xml:space="preserve"> at page 19, </w:t>
      </w:r>
      <w:r w:rsidRPr="00F3668D">
        <w:rPr>
          <w:sz w:val="24"/>
          <w:szCs w:val="24"/>
        </w:rPr>
        <w:t>Tony Utting</w:t>
      </w:r>
      <w:r>
        <w:rPr>
          <w:sz w:val="24"/>
          <w:szCs w:val="24"/>
        </w:rPr>
        <w:t xml:space="preserve"> on </w:t>
      </w:r>
      <w:r w:rsidRPr="00F3668D">
        <w:rPr>
          <w:sz w:val="24"/>
          <w:szCs w:val="24"/>
        </w:rPr>
        <w:t>17</w:t>
      </w:r>
      <w:r w:rsidRPr="00F3668D">
        <w:rPr>
          <w:sz w:val="24"/>
          <w:szCs w:val="24"/>
          <w:vertAlign w:val="superscript"/>
        </w:rPr>
        <w:t>th</w:t>
      </w:r>
      <w:r>
        <w:rPr>
          <w:sz w:val="24"/>
          <w:szCs w:val="24"/>
        </w:rPr>
        <w:t xml:space="preserve"> </w:t>
      </w:r>
      <w:r w:rsidRPr="00F3668D">
        <w:rPr>
          <w:sz w:val="24"/>
          <w:szCs w:val="24"/>
        </w:rPr>
        <w:t xml:space="preserve">November </w:t>
      </w:r>
      <w:r>
        <w:rPr>
          <w:sz w:val="24"/>
          <w:szCs w:val="24"/>
        </w:rPr>
        <w:t xml:space="preserve">at </w:t>
      </w:r>
      <w:r w:rsidRPr="00F3668D">
        <w:rPr>
          <w:sz w:val="24"/>
          <w:szCs w:val="24"/>
        </w:rPr>
        <w:t>p</w:t>
      </w:r>
      <w:r>
        <w:rPr>
          <w:sz w:val="24"/>
          <w:szCs w:val="24"/>
        </w:rPr>
        <w:t xml:space="preserve">age </w:t>
      </w:r>
      <w:r w:rsidRPr="00F3668D">
        <w:rPr>
          <w:sz w:val="24"/>
          <w:szCs w:val="24"/>
        </w:rPr>
        <w:t>96</w:t>
      </w:r>
      <w:r>
        <w:rPr>
          <w:sz w:val="24"/>
          <w:szCs w:val="24"/>
        </w:rPr>
        <w:t xml:space="preserve"> and </w:t>
      </w:r>
      <w:r w:rsidRPr="00F3668D">
        <w:rPr>
          <w:sz w:val="24"/>
          <w:szCs w:val="24"/>
        </w:rPr>
        <w:t>Mike Wilcox</w:t>
      </w:r>
      <w:r>
        <w:rPr>
          <w:sz w:val="24"/>
          <w:szCs w:val="24"/>
        </w:rPr>
        <w:t xml:space="preserve"> on </w:t>
      </w:r>
      <w:r w:rsidRPr="00F3668D">
        <w:rPr>
          <w:sz w:val="24"/>
          <w:szCs w:val="24"/>
        </w:rPr>
        <w:t>7</w:t>
      </w:r>
      <w:r w:rsidRPr="00F3668D">
        <w:rPr>
          <w:sz w:val="24"/>
          <w:szCs w:val="24"/>
          <w:vertAlign w:val="superscript"/>
        </w:rPr>
        <w:t>th</w:t>
      </w:r>
      <w:r>
        <w:rPr>
          <w:sz w:val="24"/>
          <w:szCs w:val="24"/>
        </w:rPr>
        <w:t xml:space="preserve"> </w:t>
      </w:r>
      <w:r w:rsidRPr="00F3668D">
        <w:rPr>
          <w:sz w:val="24"/>
          <w:szCs w:val="24"/>
        </w:rPr>
        <w:t xml:space="preserve"> December </w:t>
      </w:r>
      <w:r>
        <w:rPr>
          <w:sz w:val="24"/>
          <w:szCs w:val="24"/>
        </w:rPr>
        <w:t xml:space="preserve">at pages </w:t>
      </w:r>
      <w:r w:rsidRPr="00F3668D">
        <w:rPr>
          <w:sz w:val="24"/>
          <w:szCs w:val="24"/>
        </w:rPr>
        <w:t>54 – 55</w:t>
      </w:r>
      <w:r>
        <w:rPr>
          <w:sz w:val="24"/>
          <w:szCs w:val="24"/>
        </w:rPr>
        <w:t>)</w:t>
      </w:r>
      <w:r>
        <w:rPr>
          <w:rFonts w:asciiTheme="minorHAnsi" w:hAnsiTheme="minorHAnsi" w:cstheme="minorHAnsi"/>
          <w:sz w:val="24"/>
          <w:szCs w:val="24"/>
        </w:rPr>
        <w:t xml:space="preserve"> </w:t>
      </w:r>
      <w:r w:rsidRPr="007501C8">
        <w:rPr>
          <w:rFonts w:asciiTheme="minorHAnsi" w:hAnsiTheme="minorHAnsi" w:cstheme="minorHAnsi"/>
          <w:sz w:val="24"/>
          <w:szCs w:val="24"/>
        </w:rPr>
        <w:t>,</w:t>
      </w:r>
      <w:r w:rsidRPr="007501C8">
        <w:rPr>
          <w:rStyle w:val="EndnoteReference"/>
          <w:rFonts w:asciiTheme="minorHAnsi" w:hAnsiTheme="minorHAnsi" w:cstheme="minorHAnsi"/>
          <w:sz w:val="24"/>
          <w:szCs w:val="24"/>
        </w:rPr>
        <w:endnoteReference w:id="5"/>
      </w:r>
      <w:r w:rsidRPr="007501C8">
        <w:rPr>
          <w:rFonts w:asciiTheme="minorHAnsi" w:hAnsiTheme="minorHAnsi" w:cstheme="minorHAnsi"/>
          <w:sz w:val="24"/>
          <w:szCs w:val="24"/>
        </w:rPr>
        <w:t xml:space="preserve"> </w:t>
      </w:r>
      <w:r>
        <w:rPr>
          <w:rFonts w:asciiTheme="minorHAnsi" w:hAnsiTheme="minorHAnsi" w:cstheme="minorHAnsi"/>
          <w:sz w:val="24"/>
          <w:szCs w:val="24"/>
        </w:rPr>
        <w:t xml:space="preserve"> and that was despite the knowledge that this vitally important data, if disclosed, would allow a cross-check with the transactions the postmaster said had taken place. </w:t>
      </w:r>
    </w:p>
    <w:p w14:paraId="62D7E88E" w14:textId="54481474" w:rsidR="007C1D78" w:rsidRPr="007501C8" w:rsidRDefault="007C1D78"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 xml:space="preserve">The NFSP </w:t>
      </w:r>
      <w:r>
        <w:rPr>
          <w:rFonts w:asciiTheme="minorHAnsi" w:hAnsiTheme="minorHAnsi" w:cstheme="minorHAnsi"/>
          <w:sz w:val="24"/>
          <w:szCs w:val="24"/>
        </w:rPr>
        <w:t xml:space="preserve">submits </w:t>
      </w:r>
      <w:r w:rsidRPr="007501C8">
        <w:rPr>
          <w:rFonts w:asciiTheme="minorHAnsi" w:hAnsiTheme="minorHAnsi" w:cstheme="minorHAnsi"/>
          <w:sz w:val="24"/>
          <w:szCs w:val="24"/>
        </w:rPr>
        <w:t xml:space="preserve">that it is frankly unacceptable that the Post Office’s failures in disclosure have significantly and repeatedly delayed the hearing of key witnesses, such as Gareth </w:t>
      </w:r>
      <w:r w:rsidRPr="007501C8">
        <w:rPr>
          <w:rFonts w:asciiTheme="minorHAnsi" w:hAnsiTheme="minorHAnsi" w:cstheme="minorHAnsi"/>
          <w:sz w:val="24"/>
          <w:szCs w:val="24"/>
        </w:rPr>
        <w:lastRenderedPageBreak/>
        <w:t>Jenkins, and have allowed other witnesses to claim that policies and procedures were in existence that are not available to the Inquiry</w:t>
      </w:r>
      <w:r>
        <w:rPr>
          <w:rFonts w:asciiTheme="minorHAnsi" w:hAnsiTheme="minorHAnsi" w:cstheme="minorHAnsi"/>
          <w:sz w:val="24"/>
          <w:szCs w:val="24"/>
        </w:rPr>
        <w:t xml:space="preserve">. </w:t>
      </w:r>
    </w:p>
    <w:p w14:paraId="5ADA74AB" w14:textId="093FC2BA" w:rsidR="007C1D78" w:rsidRPr="007501C8" w:rsidRDefault="007C1D78" w:rsidP="007501C8">
      <w:pPr>
        <w:pStyle w:val="ListParagraph"/>
        <w:numPr>
          <w:ilvl w:val="0"/>
          <w:numId w:val="6"/>
        </w:numPr>
        <w:spacing w:line="480" w:lineRule="auto"/>
        <w:rPr>
          <w:rFonts w:asciiTheme="minorHAnsi" w:hAnsiTheme="minorHAnsi" w:cstheme="minorHAnsi"/>
          <w:sz w:val="24"/>
          <w:szCs w:val="24"/>
        </w:rPr>
      </w:pPr>
      <w:r>
        <w:rPr>
          <w:rFonts w:asciiTheme="minorHAnsi" w:hAnsiTheme="minorHAnsi" w:cstheme="minorHAnsi"/>
          <w:sz w:val="24"/>
          <w:szCs w:val="24"/>
        </w:rPr>
        <w:t xml:space="preserve">Given </w:t>
      </w:r>
      <w:r w:rsidRPr="007501C8">
        <w:rPr>
          <w:rFonts w:asciiTheme="minorHAnsi" w:hAnsiTheme="minorHAnsi" w:cstheme="minorHAnsi"/>
          <w:sz w:val="24"/>
          <w:szCs w:val="24"/>
        </w:rPr>
        <w:t>that this Inquiry, with its statutory powers, threat of sanctions and public scrutiny,</w:t>
      </w:r>
      <w:r>
        <w:rPr>
          <w:rFonts w:asciiTheme="minorHAnsi" w:hAnsiTheme="minorHAnsi" w:cstheme="minorHAnsi"/>
          <w:sz w:val="24"/>
          <w:szCs w:val="24"/>
        </w:rPr>
        <w:t xml:space="preserve"> has s</w:t>
      </w:r>
      <w:r w:rsidRPr="007501C8">
        <w:rPr>
          <w:rFonts w:asciiTheme="minorHAnsi" w:hAnsiTheme="minorHAnsi" w:cstheme="minorHAnsi"/>
          <w:sz w:val="24"/>
          <w:szCs w:val="24"/>
        </w:rPr>
        <w:t>truggl</w:t>
      </w:r>
      <w:r>
        <w:rPr>
          <w:rFonts w:asciiTheme="minorHAnsi" w:hAnsiTheme="minorHAnsi" w:cstheme="minorHAnsi"/>
          <w:sz w:val="24"/>
          <w:szCs w:val="24"/>
        </w:rPr>
        <w:t>ed</w:t>
      </w:r>
      <w:r w:rsidRPr="007501C8">
        <w:rPr>
          <w:rFonts w:asciiTheme="minorHAnsi" w:hAnsiTheme="minorHAnsi" w:cstheme="minorHAnsi"/>
          <w:sz w:val="24"/>
          <w:szCs w:val="24"/>
        </w:rPr>
        <w:t xml:space="preserve"> to get the Post Office to comply with </w:t>
      </w:r>
      <w:r>
        <w:rPr>
          <w:rFonts w:asciiTheme="minorHAnsi" w:hAnsiTheme="minorHAnsi" w:cstheme="minorHAnsi"/>
          <w:sz w:val="24"/>
          <w:szCs w:val="24"/>
        </w:rPr>
        <w:t>disclosure o</w:t>
      </w:r>
      <w:r w:rsidRPr="007501C8">
        <w:rPr>
          <w:rFonts w:asciiTheme="minorHAnsi" w:hAnsiTheme="minorHAnsi" w:cstheme="minorHAnsi"/>
          <w:sz w:val="24"/>
          <w:szCs w:val="24"/>
        </w:rPr>
        <w:t xml:space="preserve">bligations, the NFSP is concerned that once this Inquiry has concluded, the Post Office will continue to fail to provide proper disclosure to those undergoing investigations or </w:t>
      </w:r>
      <w:r>
        <w:rPr>
          <w:rFonts w:asciiTheme="minorHAnsi" w:hAnsiTheme="minorHAnsi" w:cstheme="minorHAnsi"/>
          <w:sz w:val="24"/>
          <w:szCs w:val="24"/>
        </w:rPr>
        <w:t xml:space="preserve">in </w:t>
      </w:r>
      <w:r w:rsidRPr="007501C8">
        <w:rPr>
          <w:rFonts w:asciiTheme="minorHAnsi" w:hAnsiTheme="minorHAnsi" w:cstheme="minorHAnsi"/>
          <w:sz w:val="24"/>
          <w:szCs w:val="24"/>
        </w:rPr>
        <w:t xml:space="preserve">other proceedings. The NFSP is therefore concerned that this cultural attitude within the Post Office will prevail and </w:t>
      </w:r>
      <w:r>
        <w:rPr>
          <w:rFonts w:asciiTheme="minorHAnsi" w:hAnsiTheme="minorHAnsi" w:cstheme="minorHAnsi"/>
          <w:sz w:val="24"/>
          <w:szCs w:val="24"/>
        </w:rPr>
        <w:t xml:space="preserve">will </w:t>
      </w:r>
      <w:r w:rsidRPr="007501C8">
        <w:rPr>
          <w:rFonts w:asciiTheme="minorHAnsi" w:hAnsiTheme="minorHAnsi" w:cstheme="minorHAnsi"/>
          <w:sz w:val="24"/>
          <w:szCs w:val="24"/>
        </w:rPr>
        <w:t>continue to adversely affect NFSP members, other postmasters, Crown Office employees, managers, and assistants in the future, and without</w:t>
      </w:r>
      <w:r>
        <w:rPr>
          <w:rFonts w:asciiTheme="minorHAnsi" w:hAnsiTheme="minorHAnsi" w:cstheme="minorHAnsi"/>
          <w:sz w:val="24"/>
          <w:szCs w:val="24"/>
        </w:rPr>
        <w:t xml:space="preserve"> the ongoing scrutiny of a public inquiry, </w:t>
      </w:r>
      <w:r w:rsidRPr="007501C8">
        <w:rPr>
          <w:rFonts w:asciiTheme="minorHAnsi" w:hAnsiTheme="minorHAnsi" w:cstheme="minorHAnsi"/>
          <w:sz w:val="24"/>
          <w:szCs w:val="24"/>
        </w:rPr>
        <w:t>there will be no person or organisation with enough power or resources to hold the Post Office to account on a daily and ongoing basis. Th</w:t>
      </w:r>
      <w:r>
        <w:rPr>
          <w:rFonts w:asciiTheme="minorHAnsi" w:hAnsiTheme="minorHAnsi" w:cstheme="minorHAnsi"/>
          <w:sz w:val="24"/>
          <w:szCs w:val="24"/>
        </w:rPr>
        <w:t xml:space="preserve">is is the experience of the NFSP today in its dealings with the Post Office and it </w:t>
      </w:r>
      <w:r w:rsidRPr="007501C8">
        <w:rPr>
          <w:rFonts w:asciiTheme="minorHAnsi" w:hAnsiTheme="minorHAnsi" w:cstheme="minorHAnsi"/>
          <w:sz w:val="24"/>
          <w:szCs w:val="24"/>
        </w:rPr>
        <w:t xml:space="preserve">notes that the Inquiry may address this in Phase 7, when considering any recommendations about the future of the Post Office. </w:t>
      </w:r>
    </w:p>
    <w:p w14:paraId="456D0A85" w14:textId="4091E17A" w:rsidR="007C1D78" w:rsidRPr="007501C8" w:rsidRDefault="007C1D78" w:rsidP="007501C8">
      <w:pPr>
        <w:spacing w:line="480" w:lineRule="auto"/>
        <w:rPr>
          <w:rFonts w:cstheme="minorHAnsi"/>
          <w:b/>
          <w:bCs/>
          <w:sz w:val="24"/>
          <w:szCs w:val="24"/>
        </w:rPr>
      </w:pPr>
      <w:r w:rsidRPr="007501C8">
        <w:rPr>
          <w:rFonts w:cstheme="minorHAnsi"/>
          <w:b/>
          <w:bCs/>
          <w:sz w:val="24"/>
          <w:szCs w:val="24"/>
        </w:rPr>
        <w:t>Incompetence</w:t>
      </w:r>
      <w:r>
        <w:rPr>
          <w:rFonts w:cstheme="minorHAnsi"/>
          <w:b/>
          <w:bCs/>
          <w:sz w:val="24"/>
          <w:szCs w:val="24"/>
        </w:rPr>
        <w:t>,</w:t>
      </w:r>
      <w:r w:rsidRPr="007501C8">
        <w:rPr>
          <w:rFonts w:cstheme="minorHAnsi"/>
          <w:b/>
          <w:bCs/>
          <w:sz w:val="24"/>
          <w:szCs w:val="24"/>
        </w:rPr>
        <w:t xml:space="preserve"> Entrenchment</w:t>
      </w:r>
      <w:r w:rsidR="0098608D">
        <w:rPr>
          <w:rFonts w:cstheme="minorHAnsi"/>
          <w:b/>
          <w:bCs/>
          <w:sz w:val="24"/>
          <w:szCs w:val="24"/>
        </w:rPr>
        <w:t>, Investigations and Prosecutions</w:t>
      </w:r>
    </w:p>
    <w:p w14:paraId="0903E763" w14:textId="01860D47" w:rsidR="007C1D78" w:rsidRPr="007501C8" w:rsidRDefault="007C1D78" w:rsidP="007501C8">
      <w:pPr>
        <w:pStyle w:val="ListParagraph"/>
        <w:numPr>
          <w:ilvl w:val="0"/>
          <w:numId w:val="6"/>
        </w:numPr>
        <w:spacing w:line="480" w:lineRule="auto"/>
        <w:rPr>
          <w:rFonts w:asciiTheme="minorHAnsi" w:hAnsiTheme="minorHAnsi" w:cstheme="minorHAnsi"/>
          <w:sz w:val="24"/>
          <w:szCs w:val="24"/>
        </w:rPr>
      </w:pPr>
      <w:r>
        <w:rPr>
          <w:rFonts w:asciiTheme="minorHAnsi" w:hAnsiTheme="minorHAnsi" w:cstheme="minorHAnsi"/>
          <w:sz w:val="24"/>
          <w:szCs w:val="24"/>
        </w:rPr>
        <w:t xml:space="preserve">It is the submission of the </w:t>
      </w:r>
      <w:r w:rsidRPr="007501C8">
        <w:rPr>
          <w:rFonts w:asciiTheme="minorHAnsi" w:hAnsiTheme="minorHAnsi" w:cstheme="minorHAnsi"/>
          <w:sz w:val="24"/>
          <w:szCs w:val="24"/>
        </w:rPr>
        <w:t xml:space="preserve">NFSP that </w:t>
      </w:r>
      <w:r>
        <w:rPr>
          <w:rFonts w:asciiTheme="minorHAnsi" w:hAnsiTheme="minorHAnsi" w:cstheme="minorHAnsi"/>
          <w:sz w:val="24"/>
          <w:szCs w:val="24"/>
        </w:rPr>
        <w:t>the level of decades of significant</w:t>
      </w:r>
      <w:r w:rsidRPr="007501C8">
        <w:rPr>
          <w:rFonts w:asciiTheme="minorHAnsi" w:hAnsiTheme="minorHAnsi" w:cstheme="minorHAnsi"/>
          <w:sz w:val="24"/>
          <w:szCs w:val="24"/>
        </w:rPr>
        <w:t xml:space="preserve"> and continuing failures could only occur in an environment where there is widespread incompetence</w:t>
      </w:r>
      <w:r>
        <w:rPr>
          <w:rFonts w:asciiTheme="minorHAnsi" w:hAnsiTheme="minorHAnsi" w:cstheme="minorHAnsi"/>
          <w:sz w:val="24"/>
          <w:szCs w:val="24"/>
        </w:rPr>
        <w:t xml:space="preserve"> – potentially deliberately brought about by having the wrong people in wrong jobs - entrenchment and possibly even</w:t>
      </w:r>
      <w:r w:rsidRPr="007501C8">
        <w:rPr>
          <w:rFonts w:asciiTheme="minorHAnsi" w:hAnsiTheme="minorHAnsi" w:cstheme="minorHAnsi"/>
          <w:sz w:val="24"/>
          <w:szCs w:val="24"/>
        </w:rPr>
        <w:t xml:space="preserve"> dishonesty</w:t>
      </w:r>
      <w:r>
        <w:rPr>
          <w:rFonts w:asciiTheme="minorHAnsi" w:hAnsiTheme="minorHAnsi" w:cstheme="minorHAnsi"/>
          <w:sz w:val="24"/>
          <w:szCs w:val="24"/>
        </w:rPr>
        <w:t>, although the obfuscation referred to earlier is ensuring that wherever the dishonesty occurred, it will be difficult to bring it to light.</w:t>
      </w:r>
      <w:r w:rsidRPr="007501C8">
        <w:rPr>
          <w:rFonts w:asciiTheme="minorHAnsi" w:hAnsiTheme="minorHAnsi" w:cstheme="minorHAnsi"/>
          <w:sz w:val="24"/>
          <w:szCs w:val="24"/>
        </w:rPr>
        <w:t xml:space="preserve"> </w:t>
      </w:r>
    </w:p>
    <w:p w14:paraId="3BD1CDA6" w14:textId="3783D618" w:rsidR="007C1D78" w:rsidRDefault="007C1D78"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In relation to entrenchment,</w:t>
      </w:r>
      <w:r>
        <w:rPr>
          <w:rFonts w:asciiTheme="minorHAnsi" w:hAnsiTheme="minorHAnsi" w:cstheme="minorHAnsi"/>
          <w:sz w:val="24"/>
          <w:szCs w:val="24"/>
        </w:rPr>
        <w:t xml:space="preserve"> the NFSP considers the evidence shows</w:t>
      </w:r>
      <w:r w:rsidRPr="007501C8">
        <w:rPr>
          <w:rFonts w:asciiTheme="minorHAnsi" w:hAnsiTheme="minorHAnsi" w:cstheme="minorHAnsi"/>
          <w:sz w:val="24"/>
          <w:szCs w:val="24"/>
        </w:rPr>
        <w:t xml:space="preserve"> there seems to have been a failure by</w:t>
      </w:r>
      <w:r>
        <w:rPr>
          <w:rFonts w:asciiTheme="minorHAnsi" w:hAnsiTheme="minorHAnsi" w:cstheme="minorHAnsi"/>
          <w:sz w:val="24"/>
          <w:szCs w:val="24"/>
        </w:rPr>
        <w:t xml:space="preserve"> all of</w:t>
      </w:r>
      <w:r w:rsidRPr="007501C8">
        <w:rPr>
          <w:rFonts w:asciiTheme="minorHAnsi" w:hAnsiTheme="minorHAnsi" w:cstheme="minorHAnsi"/>
          <w:sz w:val="24"/>
          <w:szCs w:val="24"/>
        </w:rPr>
        <w:t xml:space="preserve"> those</w:t>
      </w:r>
      <w:r>
        <w:rPr>
          <w:rFonts w:asciiTheme="minorHAnsi" w:hAnsiTheme="minorHAnsi" w:cstheme="minorHAnsi"/>
          <w:sz w:val="24"/>
          <w:szCs w:val="24"/>
        </w:rPr>
        <w:t>, externally as well as internally,</w:t>
      </w:r>
      <w:r w:rsidRPr="007501C8">
        <w:rPr>
          <w:rFonts w:asciiTheme="minorHAnsi" w:hAnsiTheme="minorHAnsi" w:cstheme="minorHAnsi"/>
          <w:sz w:val="24"/>
          <w:szCs w:val="24"/>
        </w:rPr>
        <w:t xml:space="preserve"> involved in </w:t>
      </w:r>
      <w:r>
        <w:rPr>
          <w:rFonts w:asciiTheme="minorHAnsi" w:hAnsiTheme="minorHAnsi" w:cstheme="minorHAnsi"/>
          <w:sz w:val="24"/>
          <w:szCs w:val="24"/>
        </w:rPr>
        <w:t>investigations and prosecutions</w:t>
      </w:r>
      <w:r w:rsidRPr="007501C8">
        <w:rPr>
          <w:rFonts w:asciiTheme="minorHAnsi" w:hAnsiTheme="minorHAnsi" w:cstheme="minorHAnsi"/>
          <w:sz w:val="24"/>
          <w:szCs w:val="24"/>
        </w:rPr>
        <w:t xml:space="preserve"> against Horizon users to consider the immense power that the Post Office </w:t>
      </w:r>
      <w:r w:rsidRPr="007501C8">
        <w:rPr>
          <w:rFonts w:asciiTheme="minorHAnsi" w:hAnsiTheme="minorHAnsi" w:cstheme="minorHAnsi"/>
          <w:sz w:val="24"/>
          <w:szCs w:val="24"/>
        </w:rPr>
        <w:lastRenderedPageBreak/>
        <w:t>held as victim, judge, jury and</w:t>
      </w:r>
      <w:r>
        <w:rPr>
          <w:rFonts w:asciiTheme="minorHAnsi" w:hAnsiTheme="minorHAnsi" w:cstheme="minorHAnsi"/>
          <w:sz w:val="24"/>
          <w:szCs w:val="24"/>
        </w:rPr>
        <w:t>, effectively,</w:t>
      </w:r>
      <w:r w:rsidRPr="007501C8">
        <w:rPr>
          <w:rFonts w:asciiTheme="minorHAnsi" w:hAnsiTheme="minorHAnsi" w:cstheme="minorHAnsi"/>
          <w:sz w:val="24"/>
          <w:szCs w:val="24"/>
        </w:rPr>
        <w:t xml:space="preserve"> executioner. The</w:t>
      </w:r>
      <w:r>
        <w:rPr>
          <w:rFonts w:asciiTheme="minorHAnsi" w:hAnsiTheme="minorHAnsi" w:cstheme="minorHAnsi"/>
          <w:sz w:val="24"/>
          <w:szCs w:val="24"/>
        </w:rPr>
        <w:t xml:space="preserve"> Post Office</w:t>
      </w:r>
      <w:r w:rsidRPr="007501C8">
        <w:rPr>
          <w:rFonts w:asciiTheme="minorHAnsi" w:hAnsiTheme="minorHAnsi" w:cstheme="minorHAnsi"/>
          <w:sz w:val="24"/>
          <w:szCs w:val="24"/>
        </w:rPr>
        <w:t xml:space="preserve"> were the ones who gained when Horizon users were ordered to pay back </w:t>
      </w:r>
      <w:r>
        <w:rPr>
          <w:rFonts w:asciiTheme="minorHAnsi" w:hAnsiTheme="minorHAnsi" w:cstheme="minorHAnsi"/>
          <w:sz w:val="24"/>
          <w:szCs w:val="24"/>
        </w:rPr>
        <w:t xml:space="preserve">so-called ‘shortfalls’ which </w:t>
      </w:r>
      <w:r w:rsidRPr="007501C8">
        <w:rPr>
          <w:rFonts w:asciiTheme="minorHAnsi" w:hAnsiTheme="minorHAnsi" w:cstheme="minorHAnsi"/>
          <w:sz w:val="24"/>
          <w:szCs w:val="24"/>
        </w:rPr>
        <w:t>were not in fact owed</w:t>
      </w:r>
      <w:r>
        <w:rPr>
          <w:rFonts w:asciiTheme="minorHAnsi" w:hAnsiTheme="minorHAnsi" w:cstheme="minorHAnsi"/>
          <w:sz w:val="24"/>
          <w:szCs w:val="24"/>
        </w:rPr>
        <w:t>;</w:t>
      </w:r>
      <w:r w:rsidRPr="007501C8">
        <w:rPr>
          <w:rFonts w:asciiTheme="minorHAnsi" w:hAnsiTheme="minorHAnsi" w:cstheme="minorHAnsi"/>
          <w:sz w:val="24"/>
          <w:szCs w:val="24"/>
        </w:rPr>
        <w:t xml:space="preserve"> they were the ones who conducted audits and investigations, and they were the ones who prosecuted individuals, or made the referral and provided the material to those that did. </w:t>
      </w:r>
      <w:r>
        <w:rPr>
          <w:rFonts w:asciiTheme="minorHAnsi" w:hAnsiTheme="minorHAnsi" w:cstheme="minorHAnsi"/>
          <w:sz w:val="24"/>
          <w:szCs w:val="24"/>
        </w:rPr>
        <w:t xml:space="preserve"> </w:t>
      </w:r>
      <w:r w:rsidRPr="007501C8">
        <w:rPr>
          <w:rFonts w:asciiTheme="minorHAnsi" w:hAnsiTheme="minorHAnsi" w:cstheme="minorHAnsi"/>
          <w:sz w:val="24"/>
          <w:szCs w:val="24"/>
        </w:rPr>
        <w:t xml:space="preserve">Instead of </w:t>
      </w:r>
      <w:r>
        <w:rPr>
          <w:rFonts w:asciiTheme="minorHAnsi" w:hAnsiTheme="minorHAnsi" w:cstheme="minorHAnsi"/>
          <w:sz w:val="24"/>
          <w:szCs w:val="24"/>
        </w:rPr>
        <w:t xml:space="preserve">always having in mind that </w:t>
      </w:r>
      <w:r w:rsidRPr="007501C8">
        <w:rPr>
          <w:rFonts w:asciiTheme="minorHAnsi" w:hAnsiTheme="minorHAnsi" w:cstheme="minorHAnsi"/>
          <w:sz w:val="24"/>
          <w:szCs w:val="24"/>
        </w:rPr>
        <w:t>this power c</w:t>
      </w:r>
      <w:r>
        <w:rPr>
          <w:rFonts w:asciiTheme="minorHAnsi" w:hAnsiTheme="minorHAnsi" w:cstheme="minorHAnsi"/>
          <w:sz w:val="24"/>
          <w:szCs w:val="24"/>
        </w:rPr>
        <w:t>ame</w:t>
      </w:r>
      <w:r w:rsidRPr="007501C8">
        <w:rPr>
          <w:rFonts w:asciiTheme="minorHAnsi" w:hAnsiTheme="minorHAnsi" w:cstheme="minorHAnsi"/>
          <w:sz w:val="24"/>
          <w:szCs w:val="24"/>
        </w:rPr>
        <w:t xml:space="preserve"> with responsibility, </w:t>
      </w:r>
      <w:r>
        <w:rPr>
          <w:rFonts w:asciiTheme="minorHAnsi" w:hAnsiTheme="minorHAnsi" w:cstheme="minorHAnsi"/>
          <w:sz w:val="24"/>
          <w:szCs w:val="24"/>
        </w:rPr>
        <w:t xml:space="preserve">it is submitted that the evidence in this phase shows that </w:t>
      </w:r>
      <w:r w:rsidRPr="007501C8">
        <w:rPr>
          <w:rFonts w:asciiTheme="minorHAnsi" w:hAnsiTheme="minorHAnsi" w:cstheme="minorHAnsi"/>
          <w:sz w:val="24"/>
          <w:szCs w:val="24"/>
        </w:rPr>
        <w:t xml:space="preserve">the Post Office seems to have focused on ensuring that the power they had was retained, and unchallengeable, through: </w:t>
      </w:r>
    </w:p>
    <w:p w14:paraId="5FF769CD" w14:textId="749016E1" w:rsidR="007C1D78" w:rsidRDefault="007C1D78" w:rsidP="00600D9E">
      <w:pPr>
        <w:pStyle w:val="ListParagraph"/>
        <w:numPr>
          <w:ilvl w:val="1"/>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(i)  making examples of those who challenged Horizon to deter others from making allegations</w:t>
      </w:r>
      <w:r>
        <w:rPr>
          <w:rFonts w:asciiTheme="minorHAnsi" w:hAnsiTheme="minorHAnsi" w:cstheme="minorHAnsi"/>
          <w:sz w:val="24"/>
          <w:szCs w:val="24"/>
        </w:rPr>
        <w:t xml:space="preserve"> [</w:t>
      </w:r>
      <w:r w:rsidRPr="00D76BE0">
        <w:rPr>
          <w:rFonts w:asciiTheme="minorHAnsi" w:hAnsiTheme="minorHAnsi" w:cstheme="minorHAnsi"/>
          <w:sz w:val="24"/>
          <w:szCs w:val="24"/>
        </w:rPr>
        <w:t>see for example, the</w:t>
      </w:r>
      <w:r w:rsidR="00C77F1D">
        <w:rPr>
          <w:rFonts w:asciiTheme="minorHAnsi" w:hAnsiTheme="minorHAnsi" w:cstheme="minorHAnsi"/>
          <w:sz w:val="24"/>
          <w:szCs w:val="24"/>
        </w:rPr>
        <w:t xml:space="preserve"> now infamous ‘Horizon bashing’ </w:t>
      </w:r>
      <w:r w:rsidRPr="00D76BE0">
        <w:rPr>
          <w:rFonts w:asciiTheme="minorHAnsi" w:hAnsiTheme="minorHAnsi" w:cstheme="minorHAnsi"/>
          <w:sz w:val="24"/>
          <w:szCs w:val="24"/>
        </w:rPr>
        <w:t>email</w:t>
      </w:r>
      <w:r w:rsidR="00C77F1D">
        <w:rPr>
          <w:rFonts w:asciiTheme="minorHAnsi" w:hAnsiTheme="minorHAnsi" w:cstheme="minorHAnsi"/>
          <w:sz w:val="24"/>
          <w:szCs w:val="24"/>
        </w:rPr>
        <w:t xml:space="preserve"> </w:t>
      </w:r>
      <w:r w:rsidRPr="00D76BE0">
        <w:rPr>
          <w:rFonts w:asciiTheme="minorHAnsi" w:hAnsiTheme="minorHAnsi" w:cstheme="minorHAnsi"/>
          <w:sz w:val="24"/>
          <w:szCs w:val="24"/>
        </w:rPr>
        <w:t xml:space="preserve">from </w:t>
      </w:r>
      <w:r w:rsidRPr="00D76BE0">
        <w:rPr>
          <w:sz w:val="24"/>
          <w:szCs w:val="24"/>
        </w:rPr>
        <w:t xml:space="preserve">Jarnail Singh to Mandy Talbot and others </w:t>
      </w:r>
      <w:r w:rsidRPr="00D76BE0">
        <w:rPr>
          <w:rFonts w:asciiTheme="minorHAnsi" w:hAnsiTheme="minorHAnsi" w:cstheme="minorHAnsi"/>
          <w:sz w:val="24"/>
          <w:szCs w:val="24"/>
        </w:rPr>
        <w:t xml:space="preserve">regarding Seema Misra case, dated 21 October 2010, POL00093686 at </w:t>
      </w:r>
      <w:r>
        <w:rPr>
          <w:rFonts w:asciiTheme="minorHAnsi" w:hAnsiTheme="minorHAnsi" w:cstheme="minorHAnsi"/>
          <w:sz w:val="24"/>
          <w:szCs w:val="24"/>
        </w:rPr>
        <w:t xml:space="preserve">page </w:t>
      </w:r>
      <w:r w:rsidRPr="00D76BE0">
        <w:rPr>
          <w:rFonts w:asciiTheme="minorHAnsi" w:hAnsiTheme="minorHAnsi" w:cstheme="minorHAnsi"/>
          <w:sz w:val="24"/>
          <w:szCs w:val="24"/>
        </w:rPr>
        <w:t xml:space="preserve">5; </w:t>
      </w:r>
      <w:r>
        <w:rPr>
          <w:rFonts w:asciiTheme="minorHAnsi" w:hAnsiTheme="minorHAnsi" w:cstheme="minorHAnsi"/>
          <w:sz w:val="24"/>
          <w:szCs w:val="24"/>
        </w:rPr>
        <w:t>the e</w:t>
      </w:r>
      <w:r w:rsidRPr="00D76BE0">
        <w:rPr>
          <w:rFonts w:asciiTheme="minorHAnsi" w:hAnsiTheme="minorHAnsi" w:cstheme="minorHAnsi"/>
          <w:sz w:val="24"/>
          <w:szCs w:val="24"/>
        </w:rPr>
        <w:t>mail from Stephen Dilley to Mandy Talbot re</w:t>
      </w:r>
      <w:r>
        <w:rPr>
          <w:rFonts w:asciiTheme="minorHAnsi" w:hAnsiTheme="minorHAnsi" w:cstheme="minorHAnsi"/>
          <w:sz w:val="24"/>
          <w:szCs w:val="24"/>
        </w:rPr>
        <w:t>garding</w:t>
      </w:r>
      <w:r w:rsidRPr="00D76BE0">
        <w:rPr>
          <w:rFonts w:asciiTheme="minorHAnsi" w:hAnsiTheme="minorHAnsi" w:cstheme="minorHAnsi"/>
          <w:sz w:val="24"/>
          <w:szCs w:val="24"/>
        </w:rPr>
        <w:t xml:space="preserve"> Lee Castleton dated 5 May 2009, POL00070237; </w:t>
      </w:r>
      <w:r>
        <w:rPr>
          <w:rFonts w:asciiTheme="minorHAnsi" w:hAnsiTheme="minorHAnsi" w:cstheme="minorHAnsi"/>
          <w:sz w:val="24"/>
          <w:szCs w:val="24"/>
        </w:rPr>
        <w:t>the e</w:t>
      </w:r>
      <w:r w:rsidRPr="00D76BE0">
        <w:rPr>
          <w:rFonts w:asciiTheme="minorHAnsi" w:hAnsiTheme="minorHAnsi" w:cstheme="minorHAnsi"/>
          <w:sz w:val="24"/>
          <w:szCs w:val="24"/>
        </w:rPr>
        <w:t>mail from Jarnail Singh to David Oliver re: current prosecution, POL00141653 at p</w:t>
      </w:r>
      <w:r>
        <w:rPr>
          <w:rFonts w:asciiTheme="minorHAnsi" w:hAnsiTheme="minorHAnsi" w:cstheme="minorHAnsi"/>
          <w:sz w:val="24"/>
          <w:szCs w:val="24"/>
        </w:rPr>
        <w:t xml:space="preserve">age </w:t>
      </w:r>
      <w:r w:rsidRPr="00D76BE0">
        <w:rPr>
          <w:rFonts w:asciiTheme="minorHAnsi" w:hAnsiTheme="minorHAnsi" w:cstheme="minorHAnsi"/>
          <w:sz w:val="24"/>
          <w:szCs w:val="24"/>
        </w:rPr>
        <w:t>2</w:t>
      </w:r>
      <w:r>
        <w:rPr>
          <w:rFonts w:asciiTheme="minorHAnsi" w:hAnsiTheme="minorHAnsi" w:cstheme="minorHAnsi"/>
          <w:sz w:val="24"/>
          <w:szCs w:val="24"/>
        </w:rPr>
        <w:t>;</w:t>
      </w:r>
      <w:r w:rsidRPr="00D76BE0">
        <w:rPr>
          <w:rFonts w:asciiTheme="minorHAnsi" w:hAnsiTheme="minorHAnsi" w:cstheme="minorHAnsi"/>
          <w:sz w:val="24"/>
          <w:szCs w:val="24"/>
        </w:rPr>
        <w:t xml:space="preserve"> </w:t>
      </w:r>
      <w:r>
        <w:rPr>
          <w:rFonts w:asciiTheme="minorHAnsi" w:hAnsiTheme="minorHAnsi" w:cstheme="minorHAnsi"/>
          <w:sz w:val="24"/>
          <w:szCs w:val="24"/>
        </w:rPr>
        <w:t xml:space="preserve">the </w:t>
      </w:r>
      <w:r w:rsidRPr="00D76BE0">
        <w:rPr>
          <w:rFonts w:asciiTheme="minorHAnsi" w:hAnsiTheme="minorHAnsi" w:cstheme="minorHAnsi"/>
          <w:sz w:val="24"/>
          <w:szCs w:val="24"/>
        </w:rPr>
        <w:t>Helen Rose Report, dated 30 August 2012,</w:t>
      </w:r>
      <w:r w:rsidRPr="00D76BE0">
        <w:rPr>
          <w:sz w:val="24"/>
          <w:szCs w:val="24"/>
        </w:rPr>
        <w:t xml:space="preserve"> </w:t>
      </w:r>
      <w:r w:rsidRPr="00D76BE0">
        <w:rPr>
          <w:rFonts w:asciiTheme="minorHAnsi" w:hAnsiTheme="minorHAnsi" w:cstheme="minorHAnsi"/>
          <w:sz w:val="24"/>
          <w:szCs w:val="24"/>
        </w:rPr>
        <w:t>FUJ00156648 at p</w:t>
      </w:r>
      <w:r>
        <w:rPr>
          <w:rFonts w:asciiTheme="minorHAnsi" w:hAnsiTheme="minorHAnsi" w:cstheme="minorHAnsi"/>
          <w:sz w:val="24"/>
          <w:szCs w:val="24"/>
        </w:rPr>
        <w:t xml:space="preserve">age </w:t>
      </w:r>
      <w:r w:rsidRPr="00D76BE0">
        <w:rPr>
          <w:rFonts w:asciiTheme="minorHAnsi" w:hAnsiTheme="minorHAnsi" w:cstheme="minorHAnsi"/>
          <w:sz w:val="24"/>
          <w:szCs w:val="24"/>
        </w:rPr>
        <w:t>5</w:t>
      </w:r>
      <w:r>
        <w:rPr>
          <w:rFonts w:asciiTheme="minorHAnsi" w:hAnsiTheme="minorHAnsi" w:cstheme="minorHAnsi"/>
          <w:sz w:val="24"/>
          <w:szCs w:val="24"/>
        </w:rPr>
        <w:t>; and the e</w:t>
      </w:r>
      <w:r w:rsidRPr="00D76BE0">
        <w:rPr>
          <w:rFonts w:asciiTheme="minorHAnsi" w:hAnsiTheme="minorHAnsi" w:cstheme="minorHAnsi"/>
          <w:sz w:val="24"/>
          <w:szCs w:val="24"/>
        </w:rPr>
        <w:t xml:space="preserve">mail from Mandy Talbot to Marie </w:t>
      </w:r>
      <w:proofErr w:type="spellStart"/>
      <w:r w:rsidRPr="00D76BE0">
        <w:rPr>
          <w:rFonts w:asciiTheme="minorHAnsi" w:hAnsiTheme="minorHAnsi" w:cstheme="minorHAnsi"/>
          <w:sz w:val="24"/>
          <w:szCs w:val="24"/>
        </w:rPr>
        <w:t>Cockette</w:t>
      </w:r>
      <w:proofErr w:type="spellEnd"/>
      <w:r w:rsidRPr="00D76BE0">
        <w:rPr>
          <w:rFonts w:asciiTheme="minorHAnsi" w:hAnsiTheme="minorHAnsi" w:cstheme="minorHAnsi"/>
          <w:sz w:val="24"/>
          <w:szCs w:val="24"/>
        </w:rPr>
        <w:t xml:space="preserve"> and others re Castleton – Marine Drive, dated 9 November 2006, POL00113909 at p</w:t>
      </w:r>
      <w:r>
        <w:rPr>
          <w:rFonts w:asciiTheme="minorHAnsi" w:hAnsiTheme="minorHAnsi" w:cstheme="minorHAnsi"/>
          <w:sz w:val="24"/>
          <w:szCs w:val="24"/>
        </w:rPr>
        <w:t xml:space="preserve">age </w:t>
      </w:r>
      <w:r w:rsidRPr="00D76BE0">
        <w:rPr>
          <w:rFonts w:asciiTheme="minorHAnsi" w:hAnsiTheme="minorHAnsi" w:cstheme="minorHAnsi"/>
          <w:sz w:val="24"/>
          <w:szCs w:val="24"/>
        </w:rPr>
        <w:t>5</w:t>
      </w:r>
      <w:r>
        <w:rPr>
          <w:rFonts w:asciiTheme="minorHAnsi" w:hAnsiTheme="minorHAnsi" w:cstheme="minorHAnsi"/>
          <w:sz w:val="24"/>
          <w:szCs w:val="24"/>
        </w:rPr>
        <w:t>)</w:t>
      </w:r>
      <w:r w:rsidRPr="007501C8">
        <w:rPr>
          <w:rStyle w:val="EndnoteReference"/>
          <w:rFonts w:asciiTheme="minorHAnsi" w:hAnsiTheme="minorHAnsi" w:cstheme="minorHAnsi"/>
          <w:sz w:val="24"/>
          <w:szCs w:val="24"/>
        </w:rPr>
        <w:endnoteReference w:id="6"/>
      </w:r>
      <w:r w:rsidRPr="007501C8">
        <w:rPr>
          <w:rFonts w:asciiTheme="minorHAnsi" w:hAnsiTheme="minorHAnsi" w:cstheme="minorHAnsi"/>
          <w:sz w:val="24"/>
          <w:szCs w:val="24"/>
        </w:rPr>
        <w:t xml:space="preserve"> </w:t>
      </w:r>
    </w:p>
    <w:p w14:paraId="240C3EE7" w14:textId="77777777" w:rsidR="007C1D78" w:rsidRDefault="007C1D78" w:rsidP="00600D9E">
      <w:pPr>
        <w:pStyle w:val="ListParagraph"/>
        <w:numPr>
          <w:ilvl w:val="1"/>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suppressing knowledge of issues within Horizon including disclosure failures</w:t>
      </w:r>
      <w:r>
        <w:rPr>
          <w:rFonts w:asciiTheme="minorHAnsi" w:hAnsiTheme="minorHAnsi" w:cstheme="minorHAnsi"/>
          <w:sz w:val="24"/>
          <w:szCs w:val="24"/>
        </w:rPr>
        <w:t xml:space="preserve"> (for example, the Helen Rose Report on Lepton SPSO)</w:t>
      </w:r>
      <w:r w:rsidRPr="007501C8">
        <w:rPr>
          <w:rFonts w:asciiTheme="minorHAnsi" w:hAnsiTheme="minorHAnsi" w:cstheme="minorHAnsi"/>
          <w:sz w:val="24"/>
          <w:szCs w:val="24"/>
        </w:rPr>
        <w:t>;</w:t>
      </w:r>
      <w:r w:rsidRPr="007501C8">
        <w:rPr>
          <w:rStyle w:val="EndnoteReference"/>
          <w:rFonts w:asciiTheme="minorHAnsi" w:hAnsiTheme="minorHAnsi" w:cstheme="minorHAnsi"/>
          <w:sz w:val="24"/>
          <w:szCs w:val="24"/>
        </w:rPr>
        <w:endnoteReference w:id="7"/>
      </w:r>
      <w:r w:rsidRPr="007501C8">
        <w:rPr>
          <w:rFonts w:asciiTheme="minorHAnsi" w:hAnsiTheme="minorHAnsi" w:cstheme="minorHAnsi"/>
          <w:sz w:val="24"/>
          <w:szCs w:val="24"/>
        </w:rPr>
        <w:t xml:space="preserve"> </w:t>
      </w:r>
    </w:p>
    <w:p w14:paraId="2B0C9841" w14:textId="77777777" w:rsidR="007C1D78" w:rsidRDefault="007C1D78" w:rsidP="00600D9E">
      <w:pPr>
        <w:pStyle w:val="ListParagraph"/>
        <w:numPr>
          <w:ilvl w:val="1"/>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putting the onus on those accused of having shortfalls to identify errors,</w:t>
      </w:r>
      <w:r w:rsidRPr="007501C8">
        <w:rPr>
          <w:rStyle w:val="EndnoteReference"/>
          <w:rFonts w:asciiTheme="minorHAnsi" w:hAnsiTheme="minorHAnsi" w:cstheme="minorHAnsi"/>
          <w:sz w:val="24"/>
          <w:szCs w:val="24"/>
        </w:rPr>
        <w:endnoteReference w:id="8"/>
      </w:r>
      <w:r w:rsidRPr="007501C8">
        <w:rPr>
          <w:rFonts w:asciiTheme="minorHAnsi" w:hAnsiTheme="minorHAnsi" w:cstheme="minorHAnsi"/>
          <w:sz w:val="24"/>
          <w:szCs w:val="24"/>
        </w:rPr>
        <w:t xml:space="preserve"> and then removing their ability to substantiate or investigate their concerns by limiting the data available to them</w:t>
      </w:r>
      <w:r>
        <w:rPr>
          <w:rFonts w:asciiTheme="minorHAnsi" w:hAnsiTheme="minorHAnsi" w:cstheme="minorHAnsi"/>
          <w:sz w:val="24"/>
          <w:szCs w:val="24"/>
        </w:rPr>
        <w:t xml:space="preserve"> </w:t>
      </w:r>
      <w:r w:rsidRPr="007501C8">
        <w:rPr>
          <w:rFonts w:asciiTheme="minorHAnsi" w:hAnsiTheme="minorHAnsi" w:cstheme="minorHAnsi"/>
          <w:sz w:val="24"/>
          <w:szCs w:val="24"/>
        </w:rPr>
        <w:t>or locking them out of their branch;</w:t>
      </w:r>
      <w:r w:rsidRPr="007501C8">
        <w:rPr>
          <w:rStyle w:val="EndnoteReference"/>
          <w:rFonts w:asciiTheme="minorHAnsi" w:hAnsiTheme="minorHAnsi" w:cstheme="minorHAnsi"/>
          <w:sz w:val="24"/>
          <w:szCs w:val="24"/>
        </w:rPr>
        <w:endnoteReference w:id="9"/>
      </w:r>
      <w:r w:rsidRPr="007501C8">
        <w:rPr>
          <w:rFonts w:asciiTheme="minorHAnsi" w:hAnsiTheme="minorHAnsi" w:cstheme="minorHAnsi"/>
          <w:sz w:val="24"/>
          <w:szCs w:val="24"/>
        </w:rPr>
        <w:t xml:space="preserve"> and </w:t>
      </w:r>
    </w:p>
    <w:p w14:paraId="3E6AD7C7" w14:textId="71BD612F" w:rsidR="007C1D78" w:rsidRPr="007501C8" w:rsidRDefault="007C1D78" w:rsidP="00600D9E">
      <w:pPr>
        <w:pStyle w:val="ListParagraph"/>
        <w:numPr>
          <w:ilvl w:val="1"/>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 xml:space="preserve">circumventing </w:t>
      </w:r>
      <w:r>
        <w:rPr>
          <w:rFonts w:asciiTheme="minorHAnsi" w:hAnsiTheme="minorHAnsi" w:cstheme="minorHAnsi"/>
          <w:sz w:val="24"/>
          <w:szCs w:val="24"/>
        </w:rPr>
        <w:t xml:space="preserve">obligations and </w:t>
      </w:r>
      <w:r w:rsidRPr="007501C8">
        <w:rPr>
          <w:rFonts w:asciiTheme="minorHAnsi" w:hAnsiTheme="minorHAnsi" w:cstheme="minorHAnsi"/>
          <w:sz w:val="24"/>
          <w:szCs w:val="24"/>
        </w:rPr>
        <w:t>duties that would expose knowledge of bugs, errors and defects</w:t>
      </w:r>
      <w:r>
        <w:rPr>
          <w:rFonts w:asciiTheme="minorHAnsi" w:hAnsiTheme="minorHAnsi" w:cstheme="minorHAnsi"/>
          <w:sz w:val="24"/>
          <w:szCs w:val="24"/>
        </w:rPr>
        <w:t>.</w:t>
      </w:r>
      <w:r w:rsidRPr="007501C8">
        <w:rPr>
          <w:rFonts w:asciiTheme="minorHAnsi" w:hAnsiTheme="minorHAnsi" w:cstheme="minorHAnsi"/>
          <w:sz w:val="24"/>
          <w:szCs w:val="24"/>
        </w:rPr>
        <w:t xml:space="preserve"> </w:t>
      </w:r>
    </w:p>
    <w:p w14:paraId="77E91B61" w14:textId="1AC9BA74" w:rsidR="007C1D78" w:rsidRPr="008B26E9" w:rsidRDefault="007C1D78" w:rsidP="008B26E9">
      <w:pPr>
        <w:pStyle w:val="FootnoteText"/>
        <w:numPr>
          <w:ilvl w:val="0"/>
          <w:numId w:val="6"/>
        </w:numPr>
        <w:spacing w:line="480" w:lineRule="auto"/>
        <w:rPr>
          <w:sz w:val="24"/>
          <w:szCs w:val="24"/>
        </w:rPr>
      </w:pPr>
      <w:r w:rsidRPr="008B26E9">
        <w:rPr>
          <w:rFonts w:asciiTheme="minorHAnsi" w:hAnsiTheme="minorHAnsi" w:cstheme="minorHAnsi"/>
          <w:sz w:val="24"/>
          <w:szCs w:val="24"/>
        </w:rPr>
        <w:lastRenderedPageBreak/>
        <w:t xml:space="preserve">The NFSP has found it extraordinary that amongst the people involved in action against Horizon users, there seemed to be a refusal to consider the Horizon user’s point of view, or evidence pointing away from culpability. This is demonstrated through </w:t>
      </w:r>
      <w:r w:rsidR="0098608D">
        <w:rPr>
          <w:rFonts w:asciiTheme="minorHAnsi" w:hAnsiTheme="minorHAnsi" w:cstheme="minorHAnsi"/>
          <w:sz w:val="24"/>
          <w:szCs w:val="24"/>
        </w:rPr>
        <w:t>‘</w:t>
      </w:r>
      <w:r w:rsidRPr="008B26E9">
        <w:rPr>
          <w:rFonts w:asciiTheme="minorHAnsi" w:hAnsiTheme="minorHAnsi" w:cstheme="minorHAnsi"/>
          <w:sz w:val="24"/>
          <w:szCs w:val="24"/>
        </w:rPr>
        <w:t>suspicion without proof</w:t>
      </w:r>
      <w:r w:rsidR="0098608D">
        <w:rPr>
          <w:rFonts w:asciiTheme="minorHAnsi" w:hAnsiTheme="minorHAnsi" w:cstheme="minorHAnsi"/>
          <w:sz w:val="24"/>
          <w:szCs w:val="24"/>
        </w:rPr>
        <w:t>’</w:t>
      </w:r>
      <w:r w:rsidRPr="008B26E9">
        <w:rPr>
          <w:rFonts w:asciiTheme="minorHAnsi" w:hAnsiTheme="minorHAnsi" w:cstheme="minorHAnsi"/>
          <w:sz w:val="24"/>
          <w:szCs w:val="24"/>
        </w:rPr>
        <w:t xml:space="preserve"> (see the evidence of Elaine Cottam on 7 November at pages 36</w:t>
      </w:r>
      <w:r>
        <w:rPr>
          <w:rFonts w:asciiTheme="minorHAnsi" w:hAnsiTheme="minorHAnsi" w:cstheme="minorHAnsi"/>
          <w:sz w:val="24"/>
          <w:szCs w:val="24"/>
        </w:rPr>
        <w:t xml:space="preserve"> </w:t>
      </w:r>
      <w:r w:rsidRPr="008B26E9">
        <w:rPr>
          <w:rFonts w:asciiTheme="minorHAnsi" w:hAnsiTheme="minorHAnsi" w:cstheme="minorHAnsi"/>
          <w:sz w:val="24"/>
          <w:szCs w:val="24"/>
        </w:rPr>
        <w:t>-</w:t>
      </w:r>
      <w:r>
        <w:rPr>
          <w:rFonts w:asciiTheme="minorHAnsi" w:hAnsiTheme="minorHAnsi" w:cstheme="minorHAnsi"/>
          <w:sz w:val="24"/>
          <w:szCs w:val="24"/>
        </w:rPr>
        <w:t xml:space="preserve"> </w:t>
      </w:r>
      <w:r w:rsidRPr="008B26E9">
        <w:rPr>
          <w:rFonts w:asciiTheme="minorHAnsi" w:hAnsiTheme="minorHAnsi" w:cstheme="minorHAnsi"/>
          <w:sz w:val="24"/>
          <w:szCs w:val="24"/>
        </w:rPr>
        <w:t>37),</w:t>
      </w:r>
      <w:r w:rsidRPr="008B26E9">
        <w:rPr>
          <w:rStyle w:val="EndnoteReference"/>
          <w:rFonts w:asciiTheme="minorHAnsi" w:hAnsiTheme="minorHAnsi" w:cstheme="minorHAnsi"/>
          <w:sz w:val="24"/>
          <w:szCs w:val="24"/>
        </w:rPr>
        <w:endnoteReference w:id="10"/>
      </w:r>
      <w:r w:rsidRPr="008B26E9">
        <w:rPr>
          <w:rFonts w:cstheme="minorHAnsi"/>
          <w:sz w:val="24"/>
          <w:szCs w:val="24"/>
        </w:rPr>
        <w:t xml:space="preserve"> the fact that postmasters were suspended immediately upon audit, even if they had been asking for help and had requested the audit;</w:t>
      </w:r>
      <w:r w:rsidRPr="008B26E9">
        <w:rPr>
          <w:rStyle w:val="EndnoteReference"/>
          <w:rFonts w:asciiTheme="minorHAnsi" w:hAnsiTheme="minorHAnsi" w:cstheme="minorHAnsi"/>
          <w:sz w:val="24"/>
          <w:szCs w:val="24"/>
        </w:rPr>
        <w:endnoteReference w:id="11"/>
      </w:r>
      <w:r w:rsidRPr="008B26E9">
        <w:rPr>
          <w:rFonts w:cstheme="minorHAnsi"/>
          <w:sz w:val="24"/>
          <w:szCs w:val="24"/>
        </w:rPr>
        <w:t xml:space="preserve"> and the refusal to disclose relevant material to the defence</w:t>
      </w:r>
      <w:r>
        <w:rPr>
          <w:rFonts w:cstheme="minorHAnsi"/>
          <w:sz w:val="24"/>
          <w:szCs w:val="24"/>
        </w:rPr>
        <w:t>,</w:t>
      </w:r>
      <w:r w:rsidRPr="008B26E9">
        <w:rPr>
          <w:rFonts w:cstheme="minorHAnsi"/>
          <w:sz w:val="24"/>
          <w:szCs w:val="24"/>
        </w:rPr>
        <w:t xml:space="preserve"> as discussed previously. In addition, it is concerning that Andrew </w:t>
      </w:r>
      <w:proofErr w:type="spellStart"/>
      <w:r w:rsidRPr="008B26E9">
        <w:rPr>
          <w:rFonts w:cstheme="minorHAnsi"/>
          <w:sz w:val="24"/>
          <w:szCs w:val="24"/>
        </w:rPr>
        <w:t>Bolc</w:t>
      </w:r>
      <w:proofErr w:type="spellEnd"/>
      <w:r w:rsidRPr="008B26E9">
        <w:rPr>
          <w:rFonts w:cstheme="minorHAnsi"/>
          <w:sz w:val="24"/>
          <w:szCs w:val="24"/>
        </w:rPr>
        <w:t xml:space="preserve"> dismissed the obtaining of ARQ data and asking Gareth Jenkins to discount a possible explanation for losses, rather than seeking to pursue a reasonable line of enquiry and investigating a potential explanation.</w:t>
      </w:r>
      <w:r w:rsidRPr="008B26E9">
        <w:rPr>
          <w:rStyle w:val="EndnoteReference"/>
          <w:rFonts w:asciiTheme="minorHAnsi" w:hAnsiTheme="minorHAnsi" w:cstheme="minorHAnsi"/>
          <w:sz w:val="24"/>
          <w:szCs w:val="24"/>
        </w:rPr>
        <w:endnoteReference w:id="12"/>
      </w:r>
      <w:r w:rsidRPr="008B26E9">
        <w:rPr>
          <w:rFonts w:cstheme="minorHAnsi"/>
          <w:sz w:val="24"/>
          <w:szCs w:val="24"/>
        </w:rPr>
        <w:t xml:space="preserve"> </w:t>
      </w:r>
      <w:r>
        <w:rPr>
          <w:rFonts w:cstheme="minorHAnsi"/>
          <w:sz w:val="24"/>
          <w:szCs w:val="24"/>
        </w:rPr>
        <w:t>(see the e</w:t>
      </w:r>
      <w:r w:rsidRPr="008B26E9">
        <w:rPr>
          <w:sz w:val="24"/>
          <w:szCs w:val="24"/>
        </w:rPr>
        <w:t xml:space="preserve">mail from Andrew </w:t>
      </w:r>
      <w:proofErr w:type="spellStart"/>
      <w:r w:rsidRPr="008B26E9">
        <w:rPr>
          <w:sz w:val="24"/>
          <w:szCs w:val="24"/>
        </w:rPr>
        <w:t>Bolc</w:t>
      </w:r>
      <w:proofErr w:type="spellEnd"/>
      <w:r w:rsidRPr="008B26E9">
        <w:rPr>
          <w:sz w:val="24"/>
          <w:szCs w:val="24"/>
        </w:rPr>
        <w:t xml:space="preserve"> to Gareth Jenkins re Sefton &amp; Neild, dated 3 December 2012 at page 2, POL00089394</w:t>
      </w:r>
      <w:r>
        <w:rPr>
          <w:sz w:val="24"/>
          <w:szCs w:val="24"/>
        </w:rPr>
        <w:t>).</w:t>
      </w:r>
    </w:p>
    <w:p w14:paraId="11A9B253" w14:textId="1024120D" w:rsidR="007C1D78" w:rsidRPr="007501C8" w:rsidRDefault="007C1D78"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The</w:t>
      </w:r>
      <w:r>
        <w:rPr>
          <w:rFonts w:asciiTheme="minorHAnsi" w:hAnsiTheme="minorHAnsi" w:cstheme="minorHAnsi"/>
          <w:sz w:val="24"/>
          <w:szCs w:val="24"/>
        </w:rPr>
        <w:t xml:space="preserve"> NFSP has found it shocking to learn </w:t>
      </w:r>
      <w:r w:rsidRPr="007501C8">
        <w:rPr>
          <w:rFonts w:asciiTheme="minorHAnsi" w:hAnsiTheme="minorHAnsi" w:cstheme="minorHAnsi"/>
          <w:sz w:val="24"/>
          <w:szCs w:val="24"/>
        </w:rPr>
        <w:t>that Investigators received a bonus for individual performance, and their performance objectives included a target for recovery of funds</w:t>
      </w:r>
      <w:r>
        <w:rPr>
          <w:rFonts w:asciiTheme="minorHAnsi" w:hAnsiTheme="minorHAnsi" w:cstheme="minorHAnsi"/>
          <w:sz w:val="24"/>
          <w:szCs w:val="24"/>
        </w:rPr>
        <w:t>, which the NFSP considers had to be from the postmasters and others who were being investigated for alleged Horizon ‘shortfalls’.</w:t>
      </w:r>
      <w:r w:rsidRPr="007501C8">
        <w:rPr>
          <w:rStyle w:val="EndnoteReference"/>
          <w:rFonts w:asciiTheme="minorHAnsi" w:hAnsiTheme="minorHAnsi" w:cstheme="minorHAnsi"/>
          <w:sz w:val="24"/>
          <w:szCs w:val="24"/>
        </w:rPr>
        <w:endnoteReference w:id="13"/>
      </w:r>
      <w:r w:rsidRPr="007501C8">
        <w:rPr>
          <w:rFonts w:asciiTheme="minorHAnsi" w:hAnsiTheme="minorHAnsi" w:cstheme="minorHAnsi"/>
          <w:sz w:val="24"/>
          <w:szCs w:val="24"/>
        </w:rPr>
        <w:t xml:space="preserve"> Investigators were tasked with looking into all of the evidence supporting and against the existence of the shortfall and the reason for that shortfall, and providing the information uncovered in their investigation to those pursuing action against Horizon users. Yet they had a vested interest in concluding that the shortfall existed and</w:t>
      </w:r>
      <w:r>
        <w:rPr>
          <w:rFonts w:asciiTheme="minorHAnsi" w:hAnsiTheme="minorHAnsi" w:cstheme="minorHAnsi"/>
          <w:sz w:val="24"/>
          <w:szCs w:val="24"/>
        </w:rPr>
        <w:t xml:space="preserve"> that</w:t>
      </w:r>
      <w:r w:rsidRPr="007501C8">
        <w:rPr>
          <w:rFonts w:asciiTheme="minorHAnsi" w:hAnsiTheme="minorHAnsi" w:cstheme="minorHAnsi"/>
          <w:sz w:val="24"/>
          <w:szCs w:val="24"/>
        </w:rPr>
        <w:t xml:space="preserve"> concluding that the shortfall was the Horizon user’s fault, and therefore recoverable.</w:t>
      </w:r>
      <w:r>
        <w:rPr>
          <w:rFonts w:asciiTheme="minorHAnsi" w:hAnsiTheme="minorHAnsi" w:cstheme="minorHAnsi"/>
          <w:sz w:val="24"/>
          <w:szCs w:val="24"/>
        </w:rPr>
        <w:t xml:space="preserve"> </w:t>
      </w:r>
      <w:r w:rsidRPr="007501C8">
        <w:rPr>
          <w:rFonts w:asciiTheme="minorHAnsi" w:hAnsiTheme="minorHAnsi" w:cstheme="minorHAnsi"/>
          <w:sz w:val="24"/>
          <w:szCs w:val="24"/>
        </w:rPr>
        <w:t xml:space="preserve"> It is therefore </w:t>
      </w:r>
      <w:r>
        <w:rPr>
          <w:rFonts w:asciiTheme="minorHAnsi" w:hAnsiTheme="minorHAnsi" w:cstheme="minorHAnsi"/>
          <w:sz w:val="24"/>
          <w:szCs w:val="24"/>
        </w:rPr>
        <w:t>perhaps no</w:t>
      </w:r>
      <w:r w:rsidRPr="007501C8">
        <w:rPr>
          <w:rFonts w:asciiTheme="minorHAnsi" w:hAnsiTheme="minorHAnsi" w:cstheme="minorHAnsi"/>
          <w:sz w:val="24"/>
          <w:szCs w:val="24"/>
        </w:rPr>
        <w:t>t entirely surprising that</w:t>
      </w:r>
      <w:r>
        <w:rPr>
          <w:rFonts w:asciiTheme="minorHAnsi" w:hAnsiTheme="minorHAnsi" w:cstheme="minorHAnsi"/>
          <w:sz w:val="24"/>
          <w:szCs w:val="24"/>
        </w:rPr>
        <w:t xml:space="preserve"> investigators such as </w:t>
      </w:r>
      <w:r w:rsidRPr="007501C8">
        <w:rPr>
          <w:rFonts w:asciiTheme="minorHAnsi" w:hAnsiTheme="minorHAnsi" w:cstheme="minorHAnsi"/>
          <w:sz w:val="24"/>
          <w:szCs w:val="24"/>
        </w:rPr>
        <w:t>Mr Daily</w:t>
      </w:r>
      <w:r>
        <w:rPr>
          <w:rFonts w:asciiTheme="minorHAnsi" w:hAnsiTheme="minorHAnsi" w:cstheme="minorHAnsi"/>
          <w:sz w:val="24"/>
          <w:szCs w:val="24"/>
        </w:rPr>
        <w:t>, for instance,</w:t>
      </w:r>
      <w:r w:rsidRPr="007501C8">
        <w:rPr>
          <w:rFonts w:asciiTheme="minorHAnsi" w:hAnsiTheme="minorHAnsi" w:cstheme="minorHAnsi"/>
          <w:sz w:val="24"/>
          <w:szCs w:val="24"/>
        </w:rPr>
        <w:t xml:space="preserve"> decided to only request ARQ data where he thought it would support the prosecution case.</w:t>
      </w:r>
      <w:r w:rsidRPr="007501C8">
        <w:rPr>
          <w:rStyle w:val="EndnoteReference"/>
          <w:rFonts w:asciiTheme="minorHAnsi" w:hAnsiTheme="minorHAnsi" w:cstheme="minorHAnsi"/>
          <w:sz w:val="24"/>
          <w:szCs w:val="24"/>
        </w:rPr>
        <w:endnoteReference w:id="14"/>
      </w:r>
    </w:p>
    <w:p w14:paraId="78667E84" w14:textId="2B40CEEA" w:rsidR="007C1D78" w:rsidRPr="007501C8" w:rsidRDefault="007C1D78"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lastRenderedPageBreak/>
        <w:t xml:space="preserve">The NFSP submits that </w:t>
      </w:r>
      <w:r>
        <w:rPr>
          <w:rFonts w:asciiTheme="minorHAnsi" w:hAnsiTheme="minorHAnsi" w:cstheme="minorHAnsi"/>
          <w:sz w:val="24"/>
          <w:szCs w:val="24"/>
        </w:rPr>
        <w:t xml:space="preserve">the evidence in Phase 4 shows that the words </w:t>
      </w:r>
      <w:r w:rsidRPr="007501C8">
        <w:rPr>
          <w:rFonts w:asciiTheme="minorHAnsi" w:hAnsiTheme="minorHAnsi" w:cstheme="minorHAnsi"/>
          <w:sz w:val="24"/>
          <w:szCs w:val="24"/>
        </w:rPr>
        <w:t xml:space="preserve">investigations, audits and prosecutions </w:t>
      </w:r>
      <w:r>
        <w:rPr>
          <w:rFonts w:asciiTheme="minorHAnsi" w:hAnsiTheme="minorHAnsi" w:cstheme="minorHAnsi"/>
          <w:sz w:val="24"/>
          <w:szCs w:val="24"/>
        </w:rPr>
        <w:t>are</w:t>
      </w:r>
      <w:r w:rsidRPr="007501C8">
        <w:rPr>
          <w:rFonts w:asciiTheme="minorHAnsi" w:hAnsiTheme="minorHAnsi" w:cstheme="minorHAnsi"/>
          <w:sz w:val="24"/>
          <w:szCs w:val="24"/>
        </w:rPr>
        <w:t xml:space="preserve"> misnomers; all of these</w:t>
      </w:r>
      <w:r w:rsidR="0098608D">
        <w:rPr>
          <w:rFonts w:asciiTheme="minorHAnsi" w:hAnsiTheme="minorHAnsi" w:cstheme="minorHAnsi"/>
          <w:sz w:val="24"/>
          <w:szCs w:val="24"/>
        </w:rPr>
        <w:t>,</w:t>
      </w:r>
      <w:r w:rsidRPr="007501C8">
        <w:rPr>
          <w:rFonts w:asciiTheme="minorHAnsi" w:hAnsiTheme="minorHAnsi" w:cstheme="minorHAnsi"/>
          <w:sz w:val="24"/>
          <w:szCs w:val="24"/>
        </w:rPr>
        <w:t xml:space="preserve"> </w:t>
      </w:r>
      <w:r>
        <w:rPr>
          <w:rFonts w:asciiTheme="minorHAnsi" w:hAnsiTheme="minorHAnsi" w:cstheme="minorHAnsi"/>
          <w:sz w:val="24"/>
          <w:szCs w:val="24"/>
        </w:rPr>
        <w:t>properly done</w:t>
      </w:r>
      <w:r w:rsidR="0098608D">
        <w:rPr>
          <w:rFonts w:asciiTheme="minorHAnsi" w:hAnsiTheme="minorHAnsi" w:cstheme="minorHAnsi"/>
          <w:sz w:val="24"/>
          <w:szCs w:val="24"/>
        </w:rPr>
        <w:t>,</w:t>
      </w:r>
      <w:r>
        <w:rPr>
          <w:rFonts w:asciiTheme="minorHAnsi" w:hAnsiTheme="minorHAnsi" w:cstheme="minorHAnsi"/>
          <w:sz w:val="24"/>
          <w:szCs w:val="24"/>
        </w:rPr>
        <w:t xml:space="preserve"> </w:t>
      </w:r>
      <w:r w:rsidRPr="007501C8">
        <w:rPr>
          <w:rFonts w:asciiTheme="minorHAnsi" w:hAnsiTheme="minorHAnsi" w:cstheme="minorHAnsi"/>
          <w:sz w:val="24"/>
          <w:szCs w:val="24"/>
        </w:rPr>
        <w:t>should be aimed</w:t>
      </w:r>
      <w:r>
        <w:rPr>
          <w:rFonts w:asciiTheme="minorHAnsi" w:hAnsiTheme="minorHAnsi" w:cstheme="minorHAnsi"/>
          <w:sz w:val="24"/>
          <w:szCs w:val="24"/>
        </w:rPr>
        <w:t xml:space="preserve"> </w:t>
      </w:r>
      <w:r w:rsidRPr="007501C8">
        <w:rPr>
          <w:rFonts w:asciiTheme="minorHAnsi" w:hAnsiTheme="minorHAnsi" w:cstheme="minorHAnsi"/>
          <w:sz w:val="24"/>
          <w:szCs w:val="24"/>
        </w:rPr>
        <w:t xml:space="preserve">at finding the truth and recovering all available evidence. Here, </w:t>
      </w:r>
      <w:r>
        <w:rPr>
          <w:rFonts w:asciiTheme="minorHAnsi" w:hAnsiTheme="minorHAnsi" w:cstheme="minorHAnsi"/>
          <w:sz w:val="24"/>
          <w:szCs w:val="24"/>
        </w:rPr>
        <w:t>the</w:t>
      </w:r>
      <w:r w:rsidRPr="007501C8">
        <w:rPr>
          <w:rFonts w:asciiTheme="minorHAnsi" w:hAnsiTheme="minorHAnsi" w:cstheme="minorHAnsi"/>
          <w:sz w:val="24"/>
          <w:szCs w:val="24"/>
        </w:rPr>
        <w:t xml:space="preserve"> evidence that supported the Post Office’s ability to prosecute and recover funds </w:t>
      </w:r>
      <w:r>
        <w:rPr>
          <w:rFonts w:asciiTheme="minorHAnsi" w:hAnsiTheme="minorHAnsi" w:cstheme="minorHAnsi"/>
          <w:sz w:val="24"/>
          <w:szCs w:val="24"/>
        </w:rPr>
        <w:t>came from H</w:t>
      </w:r>
      <w:r w:rsidRPr="007501C8">
        <w:rPr>
          <w:rFonts w:asciiTheme="minorHAnsi" w:hAnsiTheme="minorHAnsi" w:cstheme="minorHAnsi"/>
          <w:sz w:val="24"/>
          <w:szCs w:val="24"/>
        </w:rPr>
        <w:t>orizon</w:t>
      </w:r>
      <w:r>
        <w:rPr>
          <w:rFonts w:asciiTheme="minorHAnsi" w:hAnsiTheme="minorHAnsi" w:cstheme="minorHAnsi"/>
          <w:sz w:val="24"/>
          <w:szCs w:val="24"/>
        </w:rPr>
        <w:t>,</w:t>
      </w:r>
      <w:r w:rsidRPr="007501C8">
        <w:rPr>
          <w:rFonts w:asciiTheme="minorHAnsi" w:hAnsiTheme="minorHAnsi" w:cstheme="minorHAnsi"/>
          <w:sz w:val="24"/>
          <w:szCs w:val="24"/>
        </w:rPr>
        <w:t xml:space="preserve"> </w:t>
      </w:r>
      <w:r>
        <w:rPr>
          <w:rFonts w:asciiTheme="minorHAnsi" w:hAnsiTheme="minorHAnsi" w:cstheme="minorHAnsi"/>
          <w:sz w:val="24"/>
          <w:szCs w:val="24"/>
        </w:rPr>
        <w:t xml:space="preserve">and effectively </w:t>
      </w:r>
      <w:r w:rsidRPr="007501C8">
        <w:rPr>
          <w:rFonts w:asciiTheme="minorHAnsi" w:hAnsiTheme="minorHAnsi" w:cstheme="minorHAnsi"/>
          <w:sz w:val="24"/>
          <w:szCs w:val="24"/>
        </w:rPr>
        <w:t xml:space="preserve">barriers </w:t>
      </w:r>
      <w:r>
        <w:rPr>
          <w:rFonts w:asciiTheme="minorHAnsi" w:hAnsiTheme="minorHAnsi" w:cstheme="minorHAnsi"/>
          <w:sz w:val="24"/>
          <w:szCs w:val="24"/>
        </w:rPr>
        <w:t xml:space="preserve">were </w:t>
      </w:r>
      <w:r w:rsidRPr="007501C8">
        <w:rPr>
          <w:rFonts w:asciiTheme="minorHAnsi" w:hAnsiTheme="minorHAnsi" w:cstheme="minorHAnsi"/>
          <w:sz w:val="24"/>
          <w:szCs w:val="24"/>
        </w:rPr>
        <w:t xml:space="preserve">in place </w:t>
      </w:r>
      <w:r>
        <w:rPr>
          <w:rFonts w:asciiTheme="minorHAnsi" w:hAnsiTheme="minorHAnsi" w:cstheme="minorHAnsi"/>
          <w:sz w:val="24"/>
          <w:szCs w:val="24"/>
        </w:rPr>
        <w:t xml:space="preserve">which prevented </w:t>
      </w:r>
      <w:r w:rsidRPr="007501C8">
        <w:rPr>
          <w:rFonts w:asciiTheme="minorHAnsi" w:hAnsiTheme="minorHAnsi" w:cstheme="minorHAnsi"/>
          <w:sz w:val="24"/>
          <w:szCs w:val="24"/>
        </w:rPr>
        <w:t xml:space="preserve">the recovery of evidence that could support those </w:t>
      </w:r>
      <w:r>
        <w:rPr>
          <w:rFonts w:asciiTheme="minorHAnsi" w:hAnsiTheme="minorHAnsi" w:cstheme="minorHAnsi"/>
          <w:sz w:val="24"/>
          <w:szCs w:val="24"/>
        </w:rPr>
        <w:t xml:space="preserve">whose balances were showing </w:t>
      </w:r>
      <w:r w:rsidRPr="007501C8">
        <w:rPr>
          <w:rFonts w:asciiTheme="minorHAnsi" w:hAnsiTheme="minorHAnsi" w:cstheme="minorHAnsi"/>
          <w:sz w:val="24"/>
          <w:szCs w:val="24"/>
        </w:rPr>
        <w:t xml:space="preserve">shortfalls or </w:t>
      </w:r>
      <w:r>
        <w:rPr>
          <w:rFonts w:asciiTheme="minorHAnsi" w:hAnsiTheme="minorHAnsi" w:cstheme="minorHAnsi"/>
          <w:sz w:val="24"/>
          <w:szCs w:val="24"/>
        </w:rPr>
        <w:t xml:space="preserve">who were </w:t>
      </w:r>
      <w:r w:rsidRPr="007501C8">
        <w:rPr>
          <w:rFonts w:asciiTheme="minorHAnsi" w:hAnsiTheme="minorHAnsi" w:cstheme="minorHAnsi"/>
          <w:sz w:val="24"/>
          <w:szCs w:val="24"/>
        </w:rPr>
        <w:t>accused of wrongdoing</w:t>
      </w:r>
      <w:r>
        <w:rPr>
          <w:rFonts w:asciiTheme="minorHAnsi" w:hAnsiTheme="minorHAnsi" w:cstheme="minorHAnsi"/>
          <w:sz w:val="24"/>
          <w:szCs w:val="24"/>
        </w:rPr>
        <w:t xml:space="preserve">. It is submitted that the evidence has shown </w:t>
      </w:r>
      <w:r w:rsidRPr="007501C8">
        <w:rPr>
          <w:rFonts w:asciiTheme="minorHAnsi" w:hAnsiTheme="minorHAnsi" w:cstheme="minorHAnsi"/>
          <w:sz w:val="24"/>
          <w:szCs w:val="24"/>
        </w:rPr>
        <w:t>an assumption of criminality or guilt pervad</w:t>
      </w:r>
      <w:r>
        <w:rPr>
          <w:rFonts w:asciiTheme="minorHAnsi" w:hAnsiTheme="minorHAnsi" w:cstheme="minorHAnsi"/>
          <w:sz w:val="24"/>
          <w:szCs w:val="24"/>
        </w:rPr>
        <w:t>ed</w:t>
      </w:r>
      <w:r w:rsidRPr="007501C8">
        <w:rPr>
          <w:rFonts w:asciiTheme="minorHAnsi" w:hAnsiTheme="minorHAnsi" w:cstheme="minorHAnsi"/>
          <w:sz w:val="24"/>
          <w:szCs w:val="24"/>
        </w:rPr>
        <w:t xml:space="preserve"> each process.</w:t>
      </w:r>
      <w:r w:rsidRPr="007501C8">
        <w:rPr>
          <w:rStyle w:val="EndnoteReference"/>
          <w:rFonts w:asciiTheme="minorHAnsi" w:hAnsiTheme="minorHAnsi" w:cstheme="minorHAnsi"/>
          <w:sz w:val="24"/>
          <w:szCs w:val="24"/>
        </w:rPr>
        <w:endnoteReference w:id="15"/>
      </w:r>
      <w:r w:rsidRPr="007501C8">
        <w:rPr>
          <w:rFonts w:asciiTheme="minorHAnsi" w:hAnsiTheme="minorHAnsi" w:cstheme="minorHAnsi"/>
          <w:sz w:val="24"/>
          <w:szCs w:val="24"/>
        </w:rPr>
        <w:t xml:space="preserve"> The</w:t>
      </w:r>
      <w:r>
        <w:rPr>
          <w:rFonts w:asciiTheme="minorHAnsi" w:hAnsiTheme="minorHAnsi" w:cstheme="minorHAnsi"/>
          <w:sz w:val="24"/>
          <w:szCs w:val="24"/>
        </w:rPr>
        <w:t xml:space="preserve"> NFSP believes the evidence shows that the culture of the </w:t>
      </w:r>
      <w:r w:rsidRPr="007501C8">
        <w:rPr>
          <w:rFonts w:asciiTheme="minorHAnsi" w:hAnsiTheme="minorHAnsi" w:cstheme="minorHAnsi"/>
          <w:sz w:val="24"/>
          <w:szCs w:val="24"/>
        </w:rPr>
        <w:t xml:space="preserve">Post Office’s </w:t>
      </w:r>
      <w:r>
        <w:rPr>
          <w:rFonts w:asciiTheme="minorHAnsi" w:hAnsiTheme="minorHAnsi" w:cstheme="minorHAnsi"/>
          <w:sz w:val="24"/>
          <w:szCs w:val="24"/>
        </w:rPr>
        <w:t xml:space="preserve">auditors, investigators and prosecutors of </w:t>
      </w:r>
      <w:r w:rsidRPr="007501C8">
        <w:rPr>
          <w:rFonts w:asciiTheme="minorHAnsi" w:hAnsiTheme="minorHAnsi" w:cstheme="minorHAnsi"/>
          <w:sz w:val="24"/>
          <w:szCs w:val="24"/>
        </w:rPr>
        <w:t>assuming Horizon user guilt</w:t>
      </w:r>
      <w:r>
        <w:rPr>
          <w:rFonts w:asciiTheme="minorHAnsi" w:hAnsiTheme="minorHAnsi" w:cstheme="minorHAnsi"/>
          <w:sz w:val="24"/>
          <w:szCs w:val="24"/>
        </w:rPr>
        <w:t xml:space="preserve"> was </w:t>
      </w:r>
      <w:r w:rsidRPr="007501C8">
        <w:rPr>
          <w:rFonts w:asciiTheme="minorHAnsi" w:hAnsiTheme="minorHAnsi" w:cstheme="minorHAnsi"/>
          <w:sz w:val="24"/>
          <w:szCs w:val="24"/>
        </w:rPr>
        <w:t xml:space="preserve">so </w:t>
      </w:r>
      <w:r>
        <w:rPr>
          <w:rFonts w:asciiTheme="minorHAnsi" w:hAnsiTheme="minorHAnsi" w:cstheme="minorHAnsi"/>
          <w:sz w:val="24"/>
          <w:szCs w:val="24"/>
        </w:rPr>
        <w:t xml:space="preserve">entrenched, so </w:t>
      </w:r>
      <w:r w:rsidRPr="007501C8">
        <w:rPr>
          <w:rFonts w:asciiTheme="minorHAnsi" w:hAnsiTheme="minorHAnsi" w:cstheme="minorHAnsi"/>
          <w:sz w:val="24"/>
          <w:szCs w:val="24"/>
        </w:rPr>
        <w:t>pervasive that some of those involved in prosecutions which have subsequently been quashed cannot today</w:t>
      </w:r>
      <w:r>
        <w:rPr>
          <w:rFonts w:asciiTheme="minorHAnsi" w:hAnsiTheme="minorHAnsi" w:cstheme="minorHAnsi"/>
          <w:sz w:val="24"/>
          <w:szCs w:val="24"/>
        </w:rPr>
        <w:t xml:space="preserve"> even</w:t>
      </w:r>
      <w:r w:rsidRPr="007501C8">
        <w:rPr>
          <w:rFonts w:asciiTheme="minorHAnsi" w:hAnsiTheme="minorHAnsi" w:cstheme="minorHAnsi"/>
          <w:sz w:val="24"/>
          <w:szCs w:val="24"/>
        </w:rPr>
        <w:t xml:space="preserve"> admit that they were wrong and the Horizon users were innocent</w:t>
      </w:r>
      <w:r>
        <w:rPr>
          <w:rFonts w:asciiTheme="minorHAnsi" w:hAnsiTheme="minorHAnsi" w:cstheme="minorHAnsi"/>
          <w:sz w:val="24"/>
          <w:szCs w:val="24"/>
        </w:rPr>
        <w:t xml:space="preserve"> where the criminal appeals courts have found that to be so (see the evidence of Raymond Grant on 25</w:t>
      </w:r>
      <w:r w:rsidRPr="0044758E">
        <w:rPr>
          <w:rFonts w:asciiTheme="minorHAnsi" w:hAnsiTheme="minorHAnsi" w:cstheme="minorHAnsi"/>
          <w:sz w:val="24"/>
          <w:szCs w:val="24"/>
          <w:vertAlign w:val="superscript"/>
        </w:rPr>
        <w:t>th</w:t>
      </w:r>
      <w:r>
        <w:rPr>
          <w:rFonts w:asciiTheme="minorHAnsi" w:hAnsiTheme="minorHAnsi" w:cstheme="minorHAnsi"/>
          <w:sz w:val="24"/>
          <w:szCs w:val="24"/>
        </w:rPr>
        <w:t xml:space="preserve"> January)</w:t>
      </w:r>
      <w:r w:rsidRPr="007501C8">
        <w:rPr>
          <w:rFonts w:asciiTheme="minorHAnsi" w:hAnsiTheme="minorHAnsi" w:cstheme="minorHAnsi"/>
          <w:sz w:val="24"/>
          <w:szCs w:val="24"/>
        </w:rPr>
        <w:t>.</w:t>
      </w:r>
    </w:p>
    <w:p w14:paraId="57164B54" w14:textId="6A1B48A6" w:rsidR="007C1D78" w:rsidRDefault="007C1D78" w:rsidP="007501C8">
      <w:pPr>
        <w:pStyle w:val="ListParagraph"/>
        <w:numPr>
          <w:ilvl w:val="0"/>
          <w:numId w:val="6"/>
        </w:numPr>
        <w:spacing w:line="480" w:lineRule="auto"/>
        <w:rPr>
          <w:rFonts w:asciiTheme="minorHAnsi" w:hAnsiTheme="minorHAnsi" w:cstheme="minorHAnsi"/>
          <w:sz w:val="24"/>
          <w:szCs w:val="24"/>
        </w:rPr>
      </w:pPr>
      <w:r>
        <w:rPr>
          <w:rFonts w:asciiTheme="minorHAnsi" w:hAnsiTheme="minorHAnsi" w:cstheme="minorHAnsi"/>
          <w:sz w:val="24"/>
          <w:szCs w:val="24"/>
        </w:rPr>
        <w:t>It is submitted that t</w:t>
      </w:r>
      <w:r w:rsidRPr="007501C8">
        <w:rPr>
          <w:rFonts w:asciiTheme="minorHAnsi" w:hAnsiTheme="minorHAnsi" w:cstheme="minorHAnsi"/>
          <w:sz w:val="24"/>
          <w:szCs w:val="24"/>
        </w:rPr>
        <w:t xml:space="preserve">he entrenchment of individuals involved in actions against Horizon users and a refusal to consider the other side is also demonstrated in the language they used, for example, </w:t>
      </w:r>
      <w:r>
        <w:rPr>
          <w:rFonts w:asciiTheme="minorHAnsi" w:hAnsiTheme="minorHAnsi" w:cstheme="minorHAnsi"/>
          <w:sz w:val="24"/>
          <w:szCs w:val="24"/>
        </w:rPr>
        <w:t xml:space="preserve">Jarnail Singh’s email: </w:t>
      </w:r>
      <w:r w:rsidRPr="007501C8">
        <w:rPr>
          <w:rFonts w:asciiTheme="minorHAnsi" w:hAnsiTheme="minorHAnsi" w:cstheme="minorHAnsi"/>
          <w:sz w:val="24"/>
          <w:szCs w:val="24"/>
        </w:rPr>
        <w:t>“</w:t>
      </w:r>
      <w:r w:rsidRPr="00600D9E">
        <w:rPr>
          <w:rFonts w:asciiTheme="minorHAnsi" w:hAnsiTheme="minorHAnsi" w:cstheme="minorHAnsi"/>
          <w:i/>
          <w:iCs/>
          <w:sz w:val="24"/>
          <w:szCs w:val="24"/>
        </w:rPr>
        <w:t>we were able to destroy the criminal standard of proof</w:t>
      </w:r>
      <w:r w:rsidRPr="007501C8">
        <w:rPr>
          <w:rFonts w:asciiTheme="minorHAnsi" w:hAnsiTheme="minorHAnsi" w:cstheme="minorHAnsi"/>
          <w:sz w:val="24"/>
          <w:szCs w:val="24"/>
        </w:rPr>
        <w:t>;”</w:t>
      </w:r>
      <w:r w:rsidRPr="007501C8">
        <w:rPr>
          <w:rStyle w:val="EndnoteReference"/>
          <w:rFonts w:asciiTheme="minorHAnsi" w:hAnsiTheme="minorHAnsi" w:cstheme="minorHAnsi"/>
          <w:sz w:val="24"/>
          <w:szCs w:val="24"/>
        </w:rPr>
        <w:endnoteReference w:id="16"/>
      </w:r>
      <w:r w:rsidRPr="007501C8">
        <w:rPr>
          <w:rFonts w:asciiTheme="minorHAnsi" w:hAnsiTheme="minorHAnsi" w:cstheme="minorHAnsi"/>
          <w:sz w:val="24"/>
          <w:szCs w:val="24"/>
        </w:rPr>
        <w:t xml:space="preserve"> </w:t>
      </w:r>
      <w:r>
        <w:rPr>
          <w:rFonts w:asciiTheme="minorHAnsi" w:hAnsiTheme="minorHAnsi" w:cstheme="minorHAnsi"/>
          <w:sz w:val="24"/>
          <w:szCs w:val="24"/>
        </w:rPr>
        <w:t xml:space="preserve">interview transcripts with assertions made to the postmaster: </w:t>
      </w:r>
      <w:r w:rsidRPr="007501C8">
        <w:rPr>
          <w:rFonts w:asciiTheme="minorHAnsi" w:hAnsiTheme="minorHAnsi" w:cstheme="minorHAnsi"/>
          <w:sz w:val="24"/>
          <w:szCs w:val="24"/>
        </w:rPr>
        <w:t>“</w:t>
      </w:r>
      <w:r w:rsidRPr="000D2FA8">
        <w:rPr>
          <w:rFonts w:asciiTheme="minorHAnsi" w:hAnsiTheme="minorHAnsi" w:cstheme="minorHAnsi"/>
          <w:i/>
          <w:iCs/>
          <w:sz w:val="24"/>
          <w:szCs w:val="24"/>
        </w:rPr>
        <w:t>you’re lying to us again and again</w:t>
      </w:r>
      <w:r w:rsidRPr="007501C8">
        <w:rPr>
          <w:rFonts w:asciiTheme="minorHAnsi" w:hAnsiTheme="minorHAnsi" w:cstheme="minorHAnsi"/>
          <w:sz w:val="24"/>
          <w:szCs w:val="24"/>
        </w:rPr>
        <w:t>;”</w:t>
      </w:r>
      <w:r w:rsidRPr="007501C8">
        <w:rPr>
          <w:rStyle w:val="EndnoteReference"/>
          <w:rFonts w:asciiTheme="minorHAnsi" w:hAnsiTheme="minorHAnsi" w:cstheme="minorHAnsi"/>
          <w:sz w:val="24"/>
          <w:szCs w:val="24"/>
        </w:rPr>
        <w:endnoteReference w:id="17"/>
      </w:r>
      <w:r w:rsidRPr="007501C8">
        <w:rPr>
          <w:rFonts w:asciiTheme="minorHAnsi" w:hAnsiTheme="minorHAnsi" w:cstheme="minorHAnsi"/>
          <w:sz w:val="24"/>
          <w:szCs w:val="24"/>
        </w:rPr>
        <w:t xml:space="preserve"> </w:t>
      </w:r>
      <w:r>
        <w:rPr>
          <w:rFonts w:asciiTheme="minorHAnsi" w:hAnsiTheme="minorHAnsi" w:cstheme="minorHAnsi"/>
          <w:sz w:val="24"/>
          <w:szCs w:val="24"/>
        </w:rPr>
        <w:t xml:space="preserve">and </w:t>
      </w:r>
      <w:r w:rsidRPr="007501C8">
        <w:rPr>
          <w:rFonts w:asciiTheme="minorHAnsi" w:hAnsiTheme="minorHAnsi" w:cstheme="minorHAnsi"/>
          <w:sz w:val="24"/>
          <w:szCs w:val="24"/>
        </w:rPr>
        <w:t>“</w:t>
      </w:r>
      <w:r w:rsidRPr="000D2FA8">
        <w:rPr>
          <w:rFonts w:asciiTheme="minorHAnsi" w:hAnsiTheme="minorHAnsi" w:cstheme="minorHAnsi"/>
          <w:i/>
          <w:iCs/>
          <w:sz w:val="24"/>
          <w:szCs w:val="24"/>
        </w:rPr>
        <w:t>you have told me a pack of lies</w:t>
      </w:r>
      <w:r w:rsidRPr="007501C8">
        <w:rPr>
          <w:rFonts w:asciiTheme="minorHAnsi" w:hAnsiTheme="minorHAnsi" w:cstheme="minorHAnsi"/>
          <w:sz w:val="24"/>
          <w:szCs w:val="24"/>
        </w:rPr>
        <w:t>;”</w:t>
      </w:r>
      <w:r w:rsidRPr="007501C8">
        <w:rPr>
          <w:rStyle w:val="EndnoteReference"/>
          <w:rFonts w:asciiTheme="minorHAnsi" w:hAnsiTheme="minorHAnsi" w:cstheme="minorHAnsi"/>
          <w:sz w:val="24"/>
          <w:szCs w:val="24"/>
        </w:rPr>
        <w:endnoteReference w:id="18"/>
      </w:r>
      <w:r>
        <w:rPr>
          <w:rFonts w:asciiTheme="minorHAnsi" w:hAnsiTheme="minorHAnsi" w:cstheme="minorHAnsi"/>
          <w:sz w:val="24"/>
          <w:szCs w:val="24"/>
        </w:rPr>
        <w:t xml:space="preserve">.  There was also the shocking statement </w:t>
      </w:r>
      <w:r w:rsidRPr="007501C8">
        <w:rPr>
          <w:rFonts w:asciiTheme="minorHAnsi" w:hAnsiTheme="minorHAnsi" w:cstheme="minorHAnsi"/>
          <w:sz w:val="24"/>
          <w:szCs w:val="24"/>
        </w:rPr>
        <w:t>that postmasters were getting support for “</w:t>
      </w:r>
      <w:r w:rsidRPr="000D2FA8">
        <w:rPr>
          <w:rFonts w:asciiTheme="minorHAnsi" w:hAnsiTheme="minorHAnsi" w:cstheme="minorHAnsi"/>
          <w:i/>
          <w:iCs/>
          <w:sz w:val="24"/>
          <w:szCs w:val="24"/>
        </w:rPr>
        <w:t>the contention that Horizon is the cause of all evil and that they were perfect postmasters</w:t>
      </w:r>
      <w:r w:rsidRPr="007501C8">
        <w:rPr>
          <w:rFonts w:asciiTheme="minorHAnsi" w:hAnsiTheme="minorHAnsi" w:cstheme="minorHAnsi"/>
          <w:sz w:val="24"/>
          <w:szCs w:val="24"/>
        </w:rPr>
        <w:t>”</w:t>
      </w:r>
      <w:r>
        <w:rPr>
          <w:rFonts w:asciiTheme="minorHAnsi" w:hAnsiTheme="minorHAnsi" w:cstheme="minorHAnsi"/>
          <w:sz w:val="24"/>
          <w:szCs w:val="24"/>
        </w:rPr>
        <w:t xml:space="preserve"> which came from Mandy Talbot in an email </w:t>
      </w:r>
      <w:r w:rsidRPr="0044758E">
        <w:rPr>
          <w:sz w:val="24"/>
          <w:szCs w:val="24"/>
        </w:rPr>
        <w:t>to Michele Graves re Eleanor Dixon dated 6 January 2010, POL00053778 at p</w:t>
      </w:r>
      <w:r>
        <w:rPr>
          <w:sz w:val="24"/>
          <w:szCs w:val="24"/>
        </w:rPr>
        <w:t xml:space="preserve">age </w:t>
      </w:r>
      <w:r w:rsidRPr="0044758E">
        <w:rPr>
          <w:sz w:val="24"/>
          <w:szCs w:val="24"/>
        </w:rPr>
        <w:t>5</w:t>
      </w:r>
      <w:r>
        <w:rPr>
          <w:sz w:val="24"/>
          <w:szCs w:val="24"/>
        </w:rPr>
        <w:t xml:space="preserve">). </w:t>
      </w:r>
      <w:r w:rsidRPr="007501C8">
        <w:rPr>
          <w:rStyle w:val="EndnoteReference"/>
          <w:rFonts w:asciiTheme="minorHAnsi" w:hAnsiTheme="minorHAnsi" w:cstheme="minorHAnsi"/>
          <w:sz w:val="24"/>
          <w:szCs w:val="24"/>
        </w:rPr>
        <w:endnoteReference w:id="19"/>
      </w:r>
      <w:r w:rsidRPr="007501C8">
        <w:rPr>
          <w:rFonts w:asciiTheme="minorHAnsi" w:hAnsiTheme="minorHAnsi" w:cstheme="minorHAnsi"/>
          <w:sz w:val="24"/>
          <w:szCs w:val="24"/>
        </w:rPr>
        <w:t xml:space="preserve"> </w:t>
      </w:r>
      <w:r>
        <w:rPr>
          <w:rFonts w:asciiTheme="minorHAnsi" w:hAnsiTheme="minorHAnsi" w:cstheme="minorHAnsi"/>
          <w:sz w:val="24"/>
          <w:szCs w:val="24"/>
        </w:rPr>
        <w:t xml:space="preserve"> </w:t>
      </w:r>
    </w:p>
    <w:p w14:paraId="1377343B" w14:textId="1E0A55CF" w:rsidR="007C1D78" w:rsidRPr="007501C8" w:rsidRDefault="007C1D78" w:rsidP="007501C8">
      <w:pPr>
        <w:pStyle w:val="ListParagraph"/>
        <w:numPr>
          <w:ilvl w:val="0"/>
          <w:numId w:val="6"/>
        </w:numPr>
        <w:spacing w:line="480" w:lineRule="auto"/>
        <w:rPr>
          <w:rFonts w:asciiTheme="minorHAnsi" w:hAnsiTheme="minorHAnsi" w:cstheme="minorHAnsi"/>
          <w:sz w:val="24"/>
          <w:szCs w:val="24"/>
        </w:rPr>
      </w:pPr>
      <w:r>
        <w:rPr>
          <w:rFonts w:asciiTheme="minorHAnsi" w:hAnsiTheme="minorHAnsi" w:cstheme="minorHAnsi"/>
          <w:sz w:val="24"/>
          <w:szCs w:val="24"/>
        </w:rPr>
        <w:lastRenderedPageBreak/>
        <w:t xml:space="preserve">The NFSP believes this </w:t>
      </w:r>
      <w:r w:rsidRPr="007501C8">
        <w:rPr>
          <w:rFonts w:asciiTheme="minorHAnsi" w:hAnsiTheme="minorHAnsi" w:cstheme="minorHAnsi"/>
          <w:sz w:val="24"/>
          <w:szCs w:val="24"/>
        </w:rPr>
        <w:t>is also demonstrated through the language used within files and policies that assume guilt or are otherwise detrimental, such as policies having a section on “Prosecuting Criminals”;</w:t>
      </w:r>
      <w:r w:rsidRPr="007501C8">
        <w:rPr>
          <w:rStyle w:val="EndnoteReference"/>
          <w:rFonts w:asciiTheme="minorHAnsi" w:hAnsiTheme="minorHAnsi" w:cstheme="minorHAnsi"/>
          <w:sz w:val="24"/>
          <w:szCs w:val="24"/>
        </w:rPr>
        <w:endnoteReference w:id="20"/>
      </w:r>
      <w:r w:rsidRPr="007501C8">
        <w:rPr>
          <w:rFonts w:asciiTheme="minorHAnsi" w:hAnsiTheme="minorHAnsi" w:cstheme="minorHAnsi"/>
          <w:sz w:val="24"/>
          <w:szCs w:val="24"/>
        </w:rPr>
        <w:t xml:space="preserve"> the compiling of “Offender Reports”;</w:t>
      </w:r>
      <w:r w:rsidRPr="007501C8">
        <w:rPr>
          <w:rStyle w:val="EndnoteReference"/>
          <w:rFonts w:asciiTheme="minorHAnsi" w:hAnsiTheme="minorHAnsi" w:cstheme="minorHAnsi"/>
          <w:sz w:val="24"/>
          <w:szCs w:val="24"/>
        </w:rPr>
        <w:endnoteReference w:id="21"/>
      </w:r>
      <w:r w:rsidRPr="007501C8">
        <w:rPr>
          <w:rFonts w:asciiTheme="minorHAnsi" w:hAnsiTheme="minorHAnsi" w:cstheme="minorHAnsi"/>
          <w:sz w:val="24"/>
          <w:szCs w:val="24"/>
        </w:rPr>
        <w:t xml:space="preserve"> and, of course the despicable racist identification codes document.</w:t>
      </w:r>
      <w:r w:rsidRPr="007501C8">
        <w:rPr>
          <w:rStyle w:val="EndnoteReference"/>
          <w:rFonts w:asciiTheme="minorHAnsi" w:hAnsiTheme="minorHAnsi" w:cstheme="minorHAnsi"/>
          <w:sz w:val="24"/>
          <w:szCs w:val="24"/>
        </w:rPr>
        <w:endnoteReference w:id="22"/>
      </w:r>
      <w:r w:rsidRPr="007501C8">
        <w:rPr>
          <w:rFonts w:asciiTheme="minorHAnsi" w:hAnsiTheme="minorHAnsi" w:cstheme="minorHAnsi"/>
          <w:sz w:val="24"/>
          <w:szCs w:val="24"/>
        </w:rPr>
        <w:t xml:space="preserve"> Although such language </w:t>
      </w:r>
      <w:r>
        <w:rPr>
          <w:rFonts w:asciiTheme="minorHAnsi" w:hAnsiTheme="minorHAnsi" w:cstheme="minorHAnsi"/>
          <w:sz w:val="24"/>
          <w:szCs w:val="24"/>
        </w:rPr>
        <w:t>was</w:t>
      </w:r>
      <w:r w:rsidRPr="007501C8">
        <w:rPr>
          <w:rFonts w:asciiTheme="minorHAnsi" w:hAnsiTheme="minorHAnsi" w:cstheme="minorHAnsi"/>
          <w:sz w:val="24"/>
          <w:szCs w:val="24"/>
        </w:rPr>
        <w:t xml:space="preserve"> </w:t>
      </w:r>
      <w:r>
        <w:rPr>
          <w:rFonts w:asciiTheme="minorHAnsi" w:hAnsiTheme="minorHAnsi" w:cstheme="minorHAnsi"/>
          <w:sz w:val="24"/>
          <w:szCs w:val="24"/>
        </w:rPr>
        <w:t xml:space="preserve">often </w:t>
      </w:r>
      <w:r w:rsidRPr="007501C8">
        <w:rPr>
          <w:rFonts w:asciiTheme="minorHAnsi" w:hAnsiTheme="minorHAnsi" w:cstheme="minorHAnsi"/>
          <w:sz w:val="24"/>
          <w:szCs w:val="24"/>
        </w:rPr>
        <w:t>dismissed by those responsible for it as “clumsy”,</w:t>
      </w:r>
      <w:r w:rsidRPr="007501C8">
        <w:rPr>
          <w:rStyle w:val="EndnoteReference"/>
          <w:rFonts w:asciiTheme="minorHAnsi" w:hAnsiTheme="minorHAnsi" w:cstheme="minorHAnsi"/>
          <w:sz w:val="24"/>
          <w:szCs w:val="24"/>
        </w:rPr>
        <w:endnoteReference w:id="23"/>
      </w:r>
      <w:r w:rsidRPr="007501C8">
        <w:rPr>
          <w:rFonts w:asciiTheme="minorHAnsi" w:hAnsiTheme="minorHAnsi" w:cstheme="minorHAnsi"/>
          <w:sz w:val="24"/>
          <w:szCs w:val="24"/>
        </w:rPr>
        <w:t xml:space="preserve"> the purported position that this did not reflect the mindset of the organisation or those using the language</w:t>
      </w:r>
      <w:r w:rsidRPr="007501C8">
        <w:rPr>
          <w:rStyle w:val="EndnoteReference"/>
          <w:rFonts w:asciiTheme="minorHAnsi" w:hAnsiTheme="minorHAnsi" w:cstheme="minorHAnsi"/>
          <w:sz w:val="24"/>
          <w:szCs w:val="24"/>
        </w:rPr>
        <w:endnoteReference w:id="24"/>
      </w:r>
      <w:r w:rsidRPr="007501C8">
        <w:rPr>
          <w:rFonts w:asciiTheme="minorHAnsi" w:hAnsiTheme="minorHAnsi" w:cstheme="minorHAnsi"/>
          <w:sz w:val="24"/>
          <w:szCs w:val="24"/>
        </w:rPr>
        <w:t xml:space="preserve"> </w:t>
      </w:r>
      <w:r>
        <w:rPr>
          <w:rFonts w:asciiTheme="minorHAnsi" w:hAnsiTheme="minorHAnsi" w:cstheme="minorHAnsi"/>
          <w:sz w:val="24"/>
          <w:szCs w:val="24"/>
        </w:rPr>
        <w:t xml:space="preserve">must, in the NFSP’s view, be </w:t>
      </w:r>
      <w:r w:rsidRPr="007501C8">
        <w:rPr>
          <w:rFonts w:asciiTheme="minorHAnsi" w:hAnsiTheme="minorHAnsi" w:cstheme="minorHAnsi"/>
          <w:sz w:val="24"/>
          <w:szCs w:val="24"/>
        </w:rPr>
        <w:t>disingenuous</w:t>
      </w:r>
      <w:r>
        <w:rPr>
          <w:rFonts w:asciiTheme="minorHAnsi" w:hAnsiTheme="minorHAnsi" w:cstheme="minorHAnsi"/>
          <w:sz w:val="24"/>
          <w:szCs w:val="24"/>
        </w:rPr>
        <w:t xml:space="preserve"> at the least</w:t>
      </w:r>
      <w:r w:rsidRPr="007501C8">
        <w:rPr>
          <w:rFonts w:asciiTheme="minorHAnsi" w:hAnsiTheme="minorHAnsi" w:cstheme="minorHAnsi"/>
          <w:sz w:val="24"/>
          <w:szCs w:val="24"/>
        </w:rPr>
        <w:t>. Indeed, it is noted that the language about “Horizon bashing” was not uncommon at every level.</w:t>
      </w:r>
      <w:r w:rsidRPr="007501C8">
        <w:rPr>
          <w:rStyle w:val="EndnoteReference"/>
          <w:rFonts w:asciiTheme="minorHAnsi" w:hAnsiTheme="minorHAnsi" w:cstheme="minorHAnsi"/>
          <w:sz w:val="24"/>
          <w:szCs w:val="24"/>
        </w:rPr>
        <w:endnoteReference w:id="25"/>
      </w:r>
      <w:r w:rsidRPr="007501C8">
        <w:rPr>
          <w:rFonts w:asciiTheme="minorHAnsi" w:hAnsiTheme="minorHAnsi" w:cstheme="minorHAnsi"/>
          <w:sz w:val="24"/>
          <w:szCs w:val="24"/>
        </w:rPr>
        <w:t xml:space="preserve"> The </w:t>
      </w:r>
      <w:r>
        <w:rPr>
          <w:rFonts w:asciiTheme="minorHAnsi" w:hAnsiTheme="minorHAnsi" w:cstheme="minorHAnsi"/>
          <w:sz w:val="24"/>
          <w:szCs w:val="24"/>
        </w:rPr>
        <w:t xml:space="preserve">NFSP believes that the </w:t>
      </w:r>
      <w:r w:rsidRPr="007501C8">
        <w:rPr>
          <w:rFonts w:asciiTheme="minorHAnsi" w:hAnsiTheme="minorHAnsi" w:cstheme="minorHAnsi"/>
          <w:sz w:val="24"/>
          <w:szCs w:val="24"/>
        </w:rPr>
        <w:t xml:space="preserve">consistent use of language assuming guilt and dismissing </w:t>
      </w:r>
      <w:r>
        <w:rPr>
          <w:rFonts w:asciiTheme="minorHAnsi" w:hAnsiTheme="minorHAnsi" w:cstheme="minorHAnsi"/>
          <w:sz w:val="24"/>
          <w:szCs w:val="24"/>
        </w:rPr>
        <w:t xml:space="preserve">the </w:t>
      </w:r>
      <w:r w:rsidRPr="007501C8">
        <w:rPr>
          <w:rFonts w:asciiTheme="minorHAnsi" w:hAnsiTheme="minorHAnsi" w:cstheme="minorHAnsi"/>
          <w:sz w:val="24"/>
          <w:szCs w:val="24"/>
        </w:rPr>
        <w:t>Horizon user concerns</w:t>
      </w:r>
      <w:r>
        <w:rPr>
          <w:rFonts w:asciiTheme="minorHAnsi" w:hAnsiTheme="minorHAnsi" w:cstheme="minorHAnsi"/>
          <w:sz w:val="24"/>
          <w:szCs w:val="24"/>
        </w:rPr>
        <w:t>,</w:t>
      </w:r>
      <w:r w:rsidRPr="007501C8">
        <w:rPr>
          <w:rFonts w:asciiTheme="minorHAnsi" w:hAnsiTheme="minorHAnsi" w:cstheme="minorHAnsi"/>
          <w:sz w:val="24"/>
          <w:szCs w:val="24"/>
        </w:rPr>
        <w:t xml:space="preserve"> reflects an institutional mindset that is detrimental to Horizon users.</w:t>
      </w:r>
    </w:p>
    <w:p w14:paraId="137FF264" w14:textId="63322B9D" w:rsidR="007C1D78" w:rsidRPr="007501C8" w:rsidRDefault="007C1D78" w:rsidP="007501C8">
      <w:pPr>
        <w:pStyle w:val="ListParagraph"/>
        <w:numPr>
          <w:ilvl w:val="0"/>
          <w:numId w:val="6"/>
        </w:numPr>
        <w:spacing w:line="480" w:lineRule="auto"/>
        <w:rPr>
          <w:rFonts w:asciiTheme="minorHAnsi" w:hAnsiTheme="minorHAnsi" w:cstheme="minorHAnsi"/>
          <w:sz w:val="24"/>
          <w:szCs w:val="24"/>
        </w:rPr>
      </w:pPr>
      <w:r>
        <w:rPr>
          <w:rFonts w:asciiTheme="minorHAnsi" w:hAnsiTheme="minorHAnsi" w:cstheme="minorHAnsi"/>
          <w:sz w:val="24"/>
          <w:szCs w:val="24"/>
        </w:rPr>
        <w:t>It is submitted that t</w:t>
      </w:r>
      <w:r w:rsidRPr="007501C8">
        <w:rPr>
          <w:rFonts w:asciiTheme="minorHAnsi" w:hAnsiTheme="minorHAnsi" w:cstheme="minorHAnsi"/>
          <w:sz w:val="24"/>
          <w:szCs w:val="24"/>
        </w:rPr>
        <w:t xml:space="preserve">here seems to be a pattern of the Post Office valuing business considerations and the ability to recover funds, whether or not actually owed to them, over </w:t>
      </w:r>
      <w:r>
        <w:rPr>
          <w:rFonts w:asciiTheme="minorHAnsi" w:hAnsiTheme="minorHAnsi" w:cstheme="minorHAnsi"/>
          <w:sz w:val="24"/>
          <w:szCs w:val="24"/>
        </w:rPr>
        <w:t xml:space="preserve">the </w:t>
      </w:r>
      <w:r w:rsidRPr="007501C8">
        <w:rPr>
          <w:rFonts w:asciiTheme="minorHAnsi" w:hAnsiTheme="minorHAnsi" w:cstheme="minorHAnsi"/>
          <w:sz w:val="24"/>
          <w:szCs w:val="24"/>
        </w:rPr>
        <w:t>truth, their duties to the court, and</w:t>
      </w:r>
      <w:r>
        <w:rPr>
          <w:rFonts w:asciiTheme="minorHAnsi" w:hAnsiTheme="minorHAnsi" w:cstheme="minorHAnsi"/>
          <w:sz w:val="24"/>
          <w:szCs w:val="24"/>
        </w:rPr>
        <w:t xml:space="preserve"> to</w:t>
      </w:r>
      <w:r w:rsidRPr="007501C8">
        <w:rPr>
          <w:rFonts w:asciiTheme="minorHAnsi" w:hAnsiTheme="minorHAnsi" w:cstheme="minorHAnsi"/>
          <w:sz w:val="24"/>
          <w:szCs w:val="24"/>
        </w:rPr>
        <w:t xml:space="preserve"> justice. The NFSP w</w:t>
      </w:r>
      <w:r>
        <w:rPr>
          <w:rFonts w:asciiTheme="minorHAnsi" w:hAnsiTheme="minorHAnsi" w:cstheme="minorHAnsi"/>
          <w:sz w:val="24"/>
          <w:szCs w:val="24"/>
        </w:rPr>
        <w:t>as</w:t>
      </w:r>
      <w:r w:rsidRPr="007501C8">
        <w:rPr>
          <w:rFonts w:asciiTheme="minorHAnsi" w:hAnsiTheme="minorHAnsi" w:cstheme="minorHAnsi"/>
          <w:sz w:val="24"/>
          <w:szCs w:val="24"/>
        </w:rPr>
        <w:t xml:space="preserve"> concerned to hear that business considerations played a role in the decision whether or not to prosecute an individual, and that their external solicitors do not remember challenging this when identified.</w:t>
      </w:r>
      <w:r w:rsidRPr="007501C8">
        <w:rPr>
          <w:rStyle w:val="EndnoteReference"/>
          <w:rFonts w:asciiTheme="minorHAnsi" w:hAnsiTheme="minorHAnsi" w:cstheme="minorHAnsi"/>
          <w:sz w:val="24"/>
          <w:szCs w:val="24"/>
        </w:rPr>
        <w:endnoteReference w:id="26"/>
      </w:r>
    </w:p>
    <w:p w14:paraId="568E61A9" w14:textId="671CCF2B" w:rsidR="007C1D78" w:rsidRPr="007501C8" w:rsidRDefault="007C1D78"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The NFSP has been shocked by the displays of incompetence by some of those giving evidence to the Inquiry. In particular, the evidence</w:t>
      </w:r>
      <w:r>
        <w:rPr>
          <w:rFonts w:asciiTheme="minorHAnsi" w:hAnsiTheme="minorHAnsi" w:cstheme="minorHAnsi"/>
          <w:sz w:val="24"/>
          <w:szCs w:val="24"/>
        </w:rPr>
        <w:t xml:space="preserve"> of</w:t>
      </w:r>
      <w:r w:rsidRPr="007501C8">
        <w:rPr>
          <w:rFonts w:asciiTheme="minorHAnsi" w:hAnsiTheme="minorHAnsi" w:cstheme="minorHAnsi"/>
          <w:sz w:val="24"/>
          <w:szCs w:val="24"/>
        </w:rPr>
        <w:t xml:space="preserve"> Elaine Cottam and Jarnail Singh call into question the Post Office’s and their lawyers’ understanding of basic concepts such as how to answer questions in a witness statement,</w:t>
      </w:r>
      <w:r w:rsidRPr="007501C8">
        <w:rPr>
          <w:rStyle w:val="EndnoteReference"/>
          <w:rFonts w:asciiTheme="minorHAnsi" w:hAnsiTheme="minorHAnsi" w:cstheme="minorHAnsi"/>
          <w:sz w:val="24"/>
          <w:szCs w:val="24"/>
        </w:rPr>
        <w:endnoteReference w:id="27"/>
      </w:r>
      <w:r w:rsidRPr="007501C8">
        <w:rPr>
          <w:rFonts w:asciiTheme="minorHAnsi" w:hAnsiTheme="minorHAnsi" w:cstheme="minorHAnsi"/>
          <w:sz w:val="24"/>
          <w:szCs w:val="24"/>
        </w:rPr>
        <w:t xml:space="preserve"> and whether information that is not written down is disclosable.</w:t>
      </w:r>
      <w:r w:rsidRPr="007501C8">
        <w:rPr>
          <w:rStyle w:val="EndnoteReference"/>
          <w:rFonts w:asciiTheme="minorHAnsi" w:hAnsiTheme="minorHAnsi" w:cstheme="minorHAnsi"/>
          <w:sz w:val="24"/>
          <w:szCs w:val="24"/>
        </w:rPr>
        <w:endnoteReference w:id="28"/>
      </w:r>
      <w:r w:rsidRPr="007501C8">
        <w:rPr>
          <w:rFonts w:asciiTheme="minorHAnsi" w:hAnsiTheme="minorHAnsi" w:cstheme="minorHAnsi"/>
          <w:sz w:val="24"/>
          <w:szCs w:val="24"/>
        </w:rPr>
        <w:t xml:space="preserve"> </w:t>
      </w:r>
    </w:p>
    <w:p w14:paraId="3C01F487" w14:textId="2BE4FB88" w:rsidR="007C1D78" w:rsidRPr="007501C8" w:rsidRDefault="007C1D78"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 xml:space="preserve">The NFSP was also appalled to hear the evidence of Helen Rose regarding her audit report and witness statements concerning Lee Castleton. It is unacceptable that Ms Rose told the </w:t>
      </w:r>
      <w:r w:rsidRPr="007501C8">
        <w:rPr>
          <w:rFonts w:asciiTheme="minorHAnsi" w:hAnsiTheme="minorHAnsi" w:cstheme="minorHAnsi"/>
          <w:sz w:val="24"/>
          <w:szCs w:val="24"/>
        </w:rPr>
        <w:lastRenderedPageBreak/>
        <w:t>court on the basis of a blank template that a number of failures applied in this matter, such as the safe being left open, when this was not the case.</w:t>
      </w:r>
      <w:r w:rsidRPr="007501C8">
        <w:rPr>
          <w:rStyle w:val="EndnoteReference"/>
          <w:rFonts w:asciiTheme="minorHAnsi" w:hAnsiTheme="minorHAnsi" w:cstheme="minorHAnsi"/>
          <w:sz w:val="24"/>
          <w:szCs w:val="24"/>
        </w:rPr>
        <w:endnoteReference w:id="29"/>
      </w:r>
      <w:r w:rsidRPr="007501C8">
        <w:rPr>
          <w:rFonts w:asciiTheme="minorHAnsi" w:hAnsiTheme="minorHAnsi" w:cstheme="minorHAnsi"/>
          <w:sz w:val="24"/>
          <w:szCs w:val="24"/>
        </w:rPr>
        <w:t xml:space="preserve"> It is unacceptable that she went on to try and undermine Mr Castleton’s character by telling the court that he smelt of alcohol, when this was not recorded within contemporaneous documentation and was not true.</w:t>
      </w:r>
      <w:r w:rsidRPr="007501C8">
        <w:rPr>
          <w:rStyle w:val="EndnoteReference"/>
          <w:rFonts w:asciiTheme="minorHAnsi" w:hAnsiTheme="minorHAnsi" w:cstheme="minorHAnsi"/>
          <w:sz w:val="24"/>
          <w:szCs w:val="24"/>
        </w:rPr>
        <w:endnoteReference w:id="30"/>
      </w:r>
      <w:r w:rsidRPr="007501C8">
        <w:rPr>
          <w:rFonts w:asciiTheme="minorHAnsi" w:hAnsiTheme="minorHAnsi" w:cstheme="minorHAnsi"/>
          <w:sz w:val="24"/>
          <w:szCs w:val="24"/>
        </w:rPr>
        <w:t xml:space="preserve"> It is also unacceptable that when asked by the Inquiry why she included these within her witness statements to the court, she couldn’t remember why. </w:t>
      </w:r>
    </w:p>
    <w:p w14:paraId="151D311F" w14:textId="34C121BE" w:rsidR="007C1D78" w:rsidRPr="007501C8" w:rsidRDefault="007C1D78"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 xml:space="preserve">The NFSP submits that this demonstrates a fundamental disregard for ensuring that she was fulfilling her duty to the court and being honest and begs the question whether there was anything that those involved in action against Horizon users </w:t>
      </w:r>
      <w:r w:rsidRPr="0044758E">
        <w:rPr>
          <w:rFonts w:asciiTheme="minorHAnsi" w:hAnsiTheme="minorHAnsi" w:cstheme="minorHAnsi"/>
          <w:i/>
          <w:iCs/>
          <w:sz w:val="24"/>
          <w:szCs w:val="24"/>
        </w:rPr>
        <w:t>weren’t</w:t>
      </w:r>
      <w:r w:rsidRPr="007501C8">
        <w:rPr>
          <w:rFonts w:asciiTheme="minorHAnsi" w:hAnsiTheme="minorHAnsi" w:cstheme="minorHAnsi"/>
          <w:sz w:val="24"/>
          <w:szCs w:val="24"/>
        </w:rPr>
        <w:t xml:space="preserve"> willing to do in order to make an example of those challenging Horizon and ensure that prosecutions and the recovery of funds could continue. </w:t>
      </w:r>
      <w:r>
        <w:rPr>
          <w:rFonts w:asciiTheme="minorHAnsi" w:hAnsiTheme="minorHAnsi" w:cstheme="minorHAnsi"/>
          <w:sz w:val="24"/>
          <w:szCs w:val="24"/>
        </w:rPr>
        <w:t xml:space="preserve">It appeared that </w:t>
      </w:r>
      <w:r w:rsidRPr="007501C8">
        <w:rPr>
          <w:rFonts w:asciiTheme="minorHAnsi" w:hAnsiTheme="minorHAnsi" w:cstheme="minorHAnsi"/>
          <w:sz w:val="24"/>
          <w:szCs w:val="24"/>
        </w:rPr>
        <w:t>Ms Rose seem</w:t>
      </w:r>
      <w:r>
        <w:rPr>
          <w:rFonts w:asciiTheme="minorHAnsi" w:hAnsiTheme="minorHAnsi" w:cstheme="minorHAnsi"/>
          <w:sz w:val="24"/>
          <w:szCs w:val="24"/>
        </w:rPr>
        <w:t>ed</w:t>
      </w:r>
      <w:r w:rsidRPr="007501C8">
        <w:rPr>
          <w:rFonts w:asciiTheme="minorHAnsi" w:hAnsiTheme="minorHAnsi" w:cstheme="minorHAnsi"/>
          <w:sz w:val="24"/>
          <w:szCs w:val="24"/>
        </w:rPr>
        <w:t xml:space="preserve"> unapologetic for </w:t>
      </w:r>
      <w:r>
        <w:rPr>
          <w:rFonts w:asciiTheme="minorHAnsi" w:hAnsiTheme="minorHAnsi" w:cstheme="minorHAnsi"/>
          <w:sz w:val="24"/>
          <w:szCs w:val="24"/>
        </w:rPr>
        <w:t>her significant part in a case</w:t>
      </w:r>
      <w:r w:rsidRPr="007501C8">
        <w:rPr>
          <w:rFonts w:asciiTheme="minorHAnsi" w:hAnsiTheme="minorHAnsi" w:cstheme="minorHAnsi"/>
          <w:sz w:val="24"/>
          <w:szCs w:val="24"/>
        </w:rPr>
        <w:t xml:space="preserve"> which had life-altering consequences. </w:t>
      </w:r>
    </w:p>
    <w:p w14:paraId="33BB2555" w14:textId="3AFA618E" w:rsidR="0098608D" w:rsidRPr="0098608D" w:rsidRDefault="007C1D78" w:rsidP="001304EC">
      <w:pPr>
        <w:pStyle w:val="ListParagraph"/>
        <w:numPr>
          <w:ilvl w:val="0"/>
          <w:numId w:val="6"/>
        </w:numPr>
        <w:spacing w:line="480" w:lineRule="auto"/>
        <w:rPr>
          <w:rFonts w:cstheme="minorHAnsi"/>
          <w:b/>
          <w:bCs/>
          <w:sz w:val="24"/>
          <w:szCs w:val="24"/>
        </w:rPr>
      </w:pPr>
      <w:r w:rsidRPr="0098608D">
        <w:rPr>
          <w:rFonts w:asciiTheme="minorHAnsi" w:hAnsiTheme="minorHAnsi" w:cstheme="minorHAnsi"/>
          <w:sz w:val="24"/>
          <w:szCs w:val="24"/>
        </w:rPr>
        <w:t>This also appeared to be the case for Mr Singh, who despite being advised that Gareth Jenkins role as an expert witness had been discredited and that there were instances where Post Office had breached their disclosure obligations,</w:t>
      </w:r>
      <w:r w:rsidRPr="007501C8">
        <w:rPr>
          <w:rStyle w:val="EndnoteReference"/>
          <w:rFonts w:asciiTheme="minorHAnsi" w:hAnsiTheme="minorHAnsi" w:cstheme="minorHAnsi"/>
          <w:sz w:val="24"/>
          <w:szCs w:val="24"/>
        </w:rPr>
        <w:endnoteReference w:id="31"/>
      </w:r>
      <w:r w:rsidRPr="0098608D">
        <w:rPr>
          <w:rFonts w:asciiTheme="minorHAnsi" w:hAnsiTheme="minorHAnsi" w:cstheme="minorHAnsi"/>
          <w:sz w:val="24"/>
          <w:szCs w:val="24"/>
        </w:rPr>
        <w:t xml:space="preserve"> provided a quotation to Post Office’s Public Affairs manager that he knew must be untrue to allow the Post Office to defend Horizon to the public.</w:t>
      </w:r>
      <w:r w:rsidRPr="007501C8">
        <w:rPr>
          <w:rStyle w:val="EndnoteReference"/>
          <w:rFonts w:asciiTheme="minorHAnsi" w:hAnsiTheme="minorHAnsi" w:cstheme="minorHAnsi"/>
          <w:sz w:val="24"/>
          <w:szCs w:val="24"/>
        </w:rPr>
        <w:endnoteReference w:id="32"/>
      </w:r>
      <w:r w:rsidRPr="0098608D">
        <w:rPr>
          <w:rFonts w:asciiTheme="minorHAnsi" w:hAnsiTheme="minorHAnsi" w:cstheme="minorHAnsi"/>
          <w:sz w:val="24"/>
          <w:szCs w:val="24"/>
        </w:rPr>
        <w:t xml:space="preserve"> He seemed equally unapologetic for his part in his role of Head of Criminal Law (or whatever the title may have been, Mr Singh seemed not to be able to remember). Instead</w:t>
      </w:r>
      <w:r w:rsidR="00C77F1D">
        <w:rPr>
          <w:rFonts w:asciiTheme="minorHAnsi" w:hAnsiTheme="minorHAnsi" w:cstheme="minorHAnsi"/>
          <w:sz w:val="24"/>
          <w:szCs w:val="24"/>
        </w:rPr>
        <w:t>,</w:t>
      </w:r>
      <w:r w:rsidRPr="0098608D">
        <w:rPr>
          <w:rFonts w:asciiTheme="minorHAnsi" w:hAnsiTheme="minorHAnsi" w:cstheme="minorHAnsi"/>
          <w:sz w:val="24"/>
          <w:szCs w:val="24"/>
        </w:rPr>
        <w:t xml:space="preserve"> he compared himself as ‘aggrieved’ in the same way victims of Horizon were, because he was in a position to do something and he didn’t</w:t>
      </w:r>
      <w:r w:rsidR="0098608D">
        <w:rPr>
          <w:rFonts w:asciiTheme="minorHAnsi" w:hAnsiTheme="minorHAnsi" w:cstheme="minorHAnsi"/>
          <w:sz w:val="24"/>
          <w:szCs w:val="24"/>
        </w:rPr>
        <w:t>. His evidence and that of Elaine Cottam was shocking in its incoherence and whether deliberate or not, adds to the obfuscation created by so much of the witness evidence.</w:t>
      </w:r>
    </w:p>
    <w:p w14:paraId="31AB08E7" w14:textId="77777777" w:rsidR="002750E5" w:rsidRDefault="002750E5" w:rsidP="0098608D">
      <w:pPr>
        <w:spacing w:line="480" w:lineRule="auto"/>
        <w:ind w:left="360"/>
        <w:rPr>
          <w:rFonts w:cstheme="minorHAnsi"/>
          <w:b/>
          <w:bCs/>
          <w:sz w:val="24"/>
          <w:szCs w:val="24"/>
        </w:rPr>
      </w:pPr>
    </w:p>
    <w:p w14:paraId="5AB9FE99" w14:textId="4C8F548A" w:rsidR="007C1D78" w:rsidRPr="0098608D" w:rsidRDefault="007C1D78" w:rsidP="0098608D">
      <w:pPr>
        <w:spacing w:line="480" w:lineRule="auto"/>
        <w:ind w:left="360"/>
        <w:rPr>
          <w:rFonts w:cstheme="minorHAnsi"/>
          <w:b/>
          <w:bCs/>
          <w:sz w:val="24"/>
          <w:szCs w:val="24"/>
        </w:rPr>
      </w:pPr>
      <w:r w:rsidRPr="0098608D">
        <w:rPr>
          <w:rFonts w:cstheme="minorHAnsi"/>
          <w:b/>
          <w:bCs/>
          <w:sz w:val="24"/>
          <w:szCs w:val="24"/>
        </w:rPr>
        <w:lastRenderedPageBreak/>
        <w:t>Legal obligations</w:t>
      </w:r>
    </w:p>
    <w:p w14:paraId="75DB1B85" w14:textId="4B06213C" w:rsidR="007C1D78" w:rsidRPr="007501C8" w:rsidRDefault="007C1D78" w:rsidP="007501C8">
      <w:pPr>
        <w:pStyle w:val="ListParagraph"/>
        <w:numPr>
          <w:ilvl w:val="0"/>
          <w:numId w:val="6"/>
        </w:numPr>
        <w:spacing w:line="480" w:lineRule="auto"/>
        <w:rPr>
          <w:rFonts w:asciiTheme="minorHAnsi" w:eastAsia="Times New Roman" w:hAnsiTheme="minorHAnsi" w:cstheme="minorHAnsi"/>
          <w:color w:val="000000"/>
          <w:sz w:val="24"/>
          <w:szCs w:val="24"/>
        </w:rPr>
      </w:pPr>
      <w:r w:rsidRPr="007501C8">
        <w:rPr>
          <w:rFonts w:asciiTheme="minorHAnsi" w:hAnsiTheme="minorHAnsi" w:cstheme="minorHAnsi"/>
          <w:sz w:val="24"/>
          <w:szCs w:val="24"/>
        </w:rPr>
        <w:t>Another key concern for the NFSP that has emerged from Phase 4 is that those involved in progressing investigations, prosecutions, and other process</w:t>
      </w:r>
      <w:r>
        <w:rPr>
          <w:rFonts w:asciiTheme="minorHAnsi" w:hAnsiTheme="minorHAnsi" w:cstheme="minorHAnsi"/>
          <w:sz w:val="24"/>
          <w:szCs w:val="24"/>
        </w:rPr>
        <w:t>es</w:t>
      </w:r>
      <w:r w:rsidRPr="007501C8">
        <w:rPr>
          <w:rFonts w:asciiTheme="minorHAnsi" w:hAnsiTheme="minorHAnsi" w:cstheme="minorHAnsi"/>
          <w:sz w:val="24"/>
          <w:szCs w:val="24"/>
        </w:rPr>
        <w:t xml:space="preserve"> within and on behalf of the Post Office </w:t>
      </w:r>
      <w:r w:rsidR="0098608D">
        <w:rPr>
          <w:rFonts w:asciiTheme="minorHAnsi" w:hAnsiTheme="minorHAnsi" w:cstheme="minorHAnsi"/>
          <w:sz w:val="24"/>
          <w:szCs w:val="24"/>
        </w:rPr>
        <w:t xml:space="preserve">appear to have gone </w:t>
      </w:r>
      <w:r w:rsidRPr="007501C8">
        <w:rPr>
          <w:rFonts w:asciiTheme="minorHAnsi" w:hAnsiTheme="minorHAnsi" w:cstheme="minorHAnsi"/>
          <w:sz w:val="24"/>
          <w:szCs w:val="24"/>
        </w:rPr>
        <w:t>beyond failing to comply with their legal obligations by omission. The evidence before the Inquiry suggests to the NFSP that there was</w:t>
      </w:r>
      <w:r>
        <w:rPr>
          <w:rFonts w:asciiTheme="minorHAnsi" w:hAnsiTheme="minorHAnsi" w:cstheme="minorHAnsi"/>
          <w:sz w:val="24"/>
          <w:szCs w:val="24"/>
        </w:rPr>
        <w:t>, on occasion,</w:t>
      </w:r>
      <w:r w:rsidRPr="007501C8">
        <w:rPr>
          <w:rFonts w:asciiTheme="minorHAnsi" w:hAnsiTheme="minorHAnsi" w:cstheme="minorHAnsi"/>
          <w:sz w:val="24"/>
          <w:szCs w:val="24"/>
        </w:rPr>
        <w:t xml:space="preserve"> </w:t>
      </w:r>
      <w:r w:rsidR="0098608D">
        <w:rPr>
          <w:rFonts w:asciiTheme="minorHAnsi" w:hAnsiTheme="minorHAnsi" w:cstheme="minorHAnsi"/>
          <w:sz w:val="24"/>
          <w:szCs w:val="24"/>
        </w:rPr>
        <w:t xml:space="preserve">knowing </w:t>
      </w:r>
      <w:r w:rsidRPr="007501C8">
        <w:rPr>
          <w:rFonts w:asciiTheme="minorHAnsi" w:hAnsiTheme="minorHAnsi" w:cstheme="minorHAnsi"/>
          <w:sz w:val="24"/>
          <w:szCs w:val="24"/>
        </w:rPr>
        <w:t>circumvent</w:t>
      </w:r>
      <w:r w:rsidR="0098608D">
        <w:rPr>
          <w:rFonts w:asciiTheme="minorHAnsi" w:hAnsiTheme="minorHAnsi" w:cstheme="minorHAnsi"/>
          <w:sz w:val="24"/>
          <w:szCs w:val="24"/>
        </w:rPr>
        <w:t>ion.</w:t>
      </w:r>
      <w:r w:rsidRPr="007501C8">
        <w:rPr>
          <w:rFonts w:asciiTheme="minorHAnsi" w:hAnsiTheme="minorHAnsi" w:cstheme="minorHAnsi"/>
          <w:sz w:val="24"/>
          <w:szCs w:val="24"/>
        </w:rPr>
        <w:t xml:space="preserve"> </w:t>
      </w:r>
    </w:p>
    <w:p w14:paraId="7D0FD20B" w14:textId="77509E5B" w:rsidR="007C1D78" w:rsidRPr="007501C8" w:rsidRDefault="007C1D78" w:rsidP="007501C8">
      <w:pPr>
        <w:pStyle w:val="ListParagraph"/>
        <w:numPr>
          <w:ilvl w:val="0"/>
          <w:numId w:val="6"/>
        </w:numPr>
        <w:spacing w:line="480" w:lineRule="auto"/>
        <w:rPr>
          <w:rFonts w:asciiTheme="minorHAnsi" w:eastAsia="Times New Roman" w:hAnsiTheme="minorHAnsi" w:cstheme="minorHAnsi"/>
          <w:color w:val="000000"/>
          <w:sz w:val="24"/>
          <w:szCs w:val="24"/>
        </w:rPr>
      </w:pPr>
      <w:r>
        <w:rPr>
          <w:rFonts w:asciiTheme="minorHAnsi" w:hAnsiTheme="minorHAnsi" w:cstheme="minorHAnsi"/>
          <w:sz w:val="24"/>
          <w:szCs w:val="24"/>
        </w:rPr>
        <w:t xml:space="preserve">The NFSP submits that </w:t>
      </w:r>
      <w:r w:rsidR="0098608D">
        <w:rPr>
          <w:rFonts w:asciiTheme="minorHAnsi" w:hAnsiTheme="minorHAnsi" w:cstheme="minorHAnsi"/>
          <w:sz w:val="24"/>
          <w:szCs w:val="24"/>
        </w:rPr>
        <w:t>one</w:t>
      </w:r>
      <w:r w:rsidRPr="007501C8">
        <w:rPr>
          <w:rFonts w:asciiTheme="minorHAnsi" w:hAnsiTheme="minorHAnsi" w:cstheme="minorHAnsi"/>
          <w:sz w:val="24"/>
          <w:szCs w:val="24"/>
        </w:rPr>
        <w:t xml:space="preserve"> example of this </w:t>
      </w:r>
      <w:r>
        <w:rPr>
          <w:rFonts w:asciiTheme="minorHAnsi" w:hAnsiTheme="minorHAnsi" w:cstheme="minorHAnsi"/>
          <w:sz w:val="24"/>
          <w:szCs w:val="24"/>
        </w:rPr>
        <w:t>was</w:t>
      </w:r>
      <w:r w:rsidRPr="007501C8">
        <w:rPr>
          <w:rFonts w:asciiTheme="minorHAnsi" w:hAnsiTheme="minorHAnsi" w:cstheme="minorHAnsi"/>
          <w:sz w:val="24"/>
          <w:szCs w:val="24"/>
        </w:rPr>
        <w:t xml:space="preserve"> the </w:t>
      </w:r>
      <w:r>
        <w:rPr>
          <w:rFonts w:asciiTheme="minorHAnsi" w:hAnsiTheme="minorHAnsi" w:cstheme="minorHAnsi"/>
          <w:sz w:val="24"/>
          <w:szCs w:val="24"/>
        </w:rPr>
        <w:t xml:space="preserve">apparent </w:t>
      </w:r>
      <w:r w:rsidRPr="007501C8">
        <w:rPr>
          <w:rFonts w:asciiTheme="minorHAnsi" w:hAnsiTheme="minorHAnsi" w:cstheme="minorHAnsi"/>
          <w:sz w:val="24"/>
          <w:szCs w:val="24"/>
        </w:rPr>
        <w:t xml:space="preserve">attempt to minimise and </w:t>
      </w:r>
      <w:r>
        <w:rPr>
          <w:rFonts w:asciiTheme="minorHAnsi" w:hAnsiTheme="minorHAnsi" w:cstheme="minorHAnsi"/>
          <w:sz w:val="24"/>
          <w:szCs w:val="24"/>
        </w:rPr>
        <w:t xml:space="preserve">or </w:t>
      </w:r>
      <w:r w:rsidRPr="007501C8">
        <w:rPr>
          <w:rFonts w:asciiTheme="minorHAnsi" w:hAnsiTheme="minorHAnsi" w:cstheme="minorHAnsi"/>
          <w:sz w:val="24"/>
          <w:szCs w:val="24"/>
        </w:rPr>
        <w:t>destroy written information about issues with Horizon</w:t>
      </w:r>
      <w:r>
        <w:rPr>
          <w:rFonts w:asciiTheme="minorHAnsi" w:hAnsiTheme="minorHAnsi" w:cstheme="minorHAnsi"/>
          <w:sz w:val="24"/>
          <w:szCs w:val="24"/>
        </w:rPr>
        <w:t>. This seemed</w:t>
      </w:r>
      <w:r w:rsidRPr="007501C8">
        <w:rPr>
          <w:rFonts w:asciiTheme="minorHAnsi" w:hAnsiTheme="minorHAnsi" w:cstheme="minorHAnsi"/>
          <w:sz w:val="24"/>
          <w:szCs w:val="24"/>
        </w:rPr>
        <w:t xml:space="preserve"> to </w:t>
      </w:r>
      <w:r>
        <w:rPr>
          <w:rFonts w:asciiTheme="minorHAnsi" w:hAnsiTheme="minorHAnsi" w:cstheme="minorHAnsi"/>
          <w:sz w:val="24"/>
          <w:szCs w:val="24"/>
        </w:rPr>
        <w:t xml:space="preserve">have </w:t>
      </w:r>
      <w:r w:rsidRPr="007501C8">
        <w:rPr>
          <w:rFonts w:asciiTheme="minorHAnsi" w:hAnsiTheme="minorHAnsi" w:cstheme="minorHAnsi"/>
          <w:sz w:val="24"/>
          <w:szCs w:val="24"/>
        </w:rPr>
        <w:t>be</w:t>
      </w:r>
      <w:r>
        <w:rPr>
          <w:rFonts w:asciiTheme="minorHAnsi" w:hAnsiTheme="minorHAnsi" w:cstheme="minorHAnsi"/>
          <w:sz w:val="24"/>
          <w:szCs w:val="24"/>
        </w:rPr>
        <w:t>en</w:t>
      </w:r>
      <w:r w:rsidRPr="007501C8">
        <w:rPr>
          <w:rFonts w:asciiTheme="minorHAnsi" w:hAnsiTheme="minorHAnsi" w:cstheme="minorHAnsi"/>
          <w:sz w:val="24"/>
          <w:szCs w:val="24"/>
        </w:rPr>
        <w:t xml:space="preserve"> </w:t>
      </w:r>
      <w:r w:rsidR="0098608D">
        <w:rPr>
          <w:rFonts w:asciiTheme="minorHAnsi" w:hAnsiTheme="minorHAnsi" w:cstheme="minorHAnsi"/>
          <w:sz w:val="24"/>
          <w:szCs w:val="24"/>
        </w:rPr>
        <w:t xml:space="preserve">based </w:t>
      </w:r>
      <w:r w:rsidRPr="007501C8">
        <w:rPr>
          <w:rFonts w:asciiTheme="minorHAnsi" w:hAnsiTheme="minorHAnsi" w:cstheme="minorHAnsi"/>
          <w:sz w:val="24"/>
          <w:szCs w:val="24"/>
        </w:rPr>
        <w:t>if information was not written</w:t>
      </w:r>
      <w:r>
        <w:rPr>
          <w:rFonts w:asciiTheme="minorHAnsi" w:hAnsiTheme="minorHAnsi" w:cstheme="minorHAnsi"/>
          <w:sz w:val="24"/>
          <w:szCs w:val="24"/>
        </w:rPr>
        <w:t xml:space="preserve"> down</w:t>
      </w:r>
      <w:r w:rsidRPr="007501C8">
        <w:rPr>
          <w:rFonts w:asciiTheme="minorHAnsi" w:hAnsiTheme="minorHAnsi" w:cstheme="minorHAnsi"/>
          <w:sz w:val="24"/>
          <w:szCs w:val="24"/>
        </w:rPr>
        <w:t>, it did not have to be disclosed</w:t>
      </w:r>
      <w:r>
        <w:rPr>
          <w:rFonts w:asciiTheme="minorHAnsi" w:hAnsiTheme="minorHAnsi" w:cstheme="minorHAnsi"/>
          <w:sz w:val="24"/>
          <w:szCs w:val="24"/>
        </w:rPr>
        <w:t xml:space="preserve">. </w:t>
      </w:r>
      <w:r w:rsidRPr="007501C8">
        <w:rPr>
          <w:rFonts w:asciiTheme="minorHAnsi" w:hAnsiTheme="minorHAnsi" w:cstheme="minorHAnsi"/>
          <w:sz w:val="24"/>
          <w:szCs w:val="24"/>
        </w:rPr>
        <w:t xml:space="preserve">The NFSP is appalled to hear that not only were </w:t>
      </w:r>
      <w:r w:rsidR="0098608D">
        <w:rPr>
          <w:rFonts w:asciiTheme="minorHAnsi" w:hAnsiTheme="minorHAnsi" w:cstheme="minorHAnsi"/>
          <w:sz w:val="24"/>
          <w:szCs w:val="24"/>
        </w:rPr>
        <w:t xml:space="preserve">those who were </w:t>
      </w:r>
      <w:r w:rsidRPr="007501C8">
        <w:rPr>
          <w:rFonts w:asciiTheme="minorHAnsi" w:hAnsiTheme="minorHAnsi" w:cstheme="minorHAnsi"/>
          <w:sz w:val="24"/>
          <w:szCs w:val="24"/>
        </w:rPr>
        <w:t xml:space="preserve">dealing with </w:t>
      </w:r>
      <w:r w:rsidR="0098608D">
        <w:rPr>
          <w:rFonts w:asciiTheme="minorHAnsi" w:hAnsiTheme="minorHAnsi" w:cstheme="minorHAnsi"/>
          <w:sz w:val="24"/>
          <w:szCs w:val="24"/>
        </w:rPr>
        <w:t xml:space="preserve">taking </w:t>
      </w:r>
      <w:r w:rsidRPr="007501C8">
        <w:rPr>
          <w:rFonts w:asciiTheme="minorHAnsi" w:hAnsiTheme="minorHAnsi" w:cstheme="minorHAnsi"/>
          <w:sz w:val="24"/>
          <w:szCs w:val="24"/>
        </w:rPr>
        <w:t>action against Horizon users told</w:t>
      </w:r>
      <w:r>
        <w:rPr>
          <w:rFonts w:asciiTheme="minorHAnsi" w:hAnsiTheme="minorHAnsi" w:cstheme="minorHAnsi"/>
          <w:sz w:val="24"/>
          <w:szCs w:val="24"/>
        </w:rPr>
        <w:t xml:space="preserve"> to</w:t>
      </w:r>
      <w:r w:rsidRPr="007501C8">
        <w:rPr>
          <w:rFonts w:asciiTheme="minorHAnsi" w:hAnsiTheme="minorHAnsi" w:cstheme="minorHAnsi"/>
          <w:sz w:val="24"/>
          <w:szCs w:val="24"/>
        </w:rPr>
        <w:t xml:space="preserve"> reduce electronic correspondence regarding Horizon issues</w:t>
      </w:r>
      <w:r>
        <w:rPr>
          <w:rFonts w:asciiTheme="minorHAnsi" w:hAnsiTheme="minorHAnsi" w:cstheme="minorHAnsi"/>
          <w:sz w:val="24"/>
          <w:szCs w:val="24"/>
        </w:rPr>
        <w:t>, for instance, the evidence of the witness John Scott</w:t>
      </w:r>
      <w:r w:rsidRPr="007501C8">
        <w:rPr>
          <w:rFonts w:asciiTheme="minorHAnsi" w:hAnsiTheme="minorHAnsi" w:cstheme="minorHAnsi"/>
          <w:sz w:val="24"/>
          <w:szCs w:val="24"/>
        </w:rPr>
        <w:t>,</w:t>
      </w:r>
      <w:r w:rsidRPr="007501C8">
        <w:rPr>
          <w:rStyle w:val="EndnoteReference"/>
          <w:rFonts w:asciiTheme="minorHAnsi" w:hAnsiTheme="minorHAnsi" w:cstheme="minorHAnsi"/>
          <w:sz w:val="24"/>
          <w:szCs w:val="24"/>
        </w:rPr>
        <w:endnoteReference w:id="33"/>
      </w:r>
      <w:r w:rsidRPr="007501C8">
        <w:rPr>
          <w:rFonts w:asciiTheme="minorHAnsi" w:hAnsiTheme="minorHAnsi" w:cstheme="minorHAnsi"/>
          <w:sz w:val="24"/>
          <w:szCs w:val="24"/>
        </w:rPr>
        <w:t xml:space="preserve"> and not take minutes</w:t>
      </w:r>
      <w:r>
        <w:rPr>
          <w:rFonts w:asciiTheme="minorHAnsi" w:hAnsiTheme="minorHAnsi" w:cstheme="minorHAnsi"/>
          <w:sz w:val="24"/>
          <w:szCs w:val="24"/>
        </w:rPr>
        <w:t xml:space="preserve"> in </w:t>
      </w:r>
      <w:r w:rsidRPr="007501C8">
        <w:rPr>
          <w:rFonts w:asciiTheme="minorHAnsi" w:hAnsiTheme="minorHAnsi" w:cstheme="minorHAnsi"/>
          <w:sz w:val="24"/>
          <w:szCs w:val="24"/>
        </w:rPr>
        <w:t>relevant meetings,</w:t>
      </w:r>
      <w:r w:rsidRPr="007501C8">
        <w:rPr>
          <w:rStyle w:val="EndnoteReference"/>
          <w:rFonts w:asciiTheme="minorHAnsi" w:hAnsiTheme="minorHAnsi" w:cstheme="minorHAnsi"/>
          <w:sz w:val="24"/>
          <w:szCs w:val="24"/>
        </w:rPr>
        <w:endnoteReference w:id="34"/>
      </w:r>
      <w:r w:rsidRPr="007501C8">
        <w:rPr>
          <w:rFonts w:asciiTheme="minorHAnsi" w:hAnsiTheme="minorHAnsi" w:cstheme="minorHAnsi"/>
          <w:sz w:val="24"/>
          <w:szCs w:val="24"/>
        </w:rPr>
        <w:t xml:space="preserve"> but that people were also told that typed minutes should be “scrapped,”</w:t>
      </w:r>
      <w:r w:rsidRPr="007501C8">
        <w:rPr>
          <w:rStyle w:val="EndnoteReference"/>
          <w:rFonts w:asciiTheme="minorHAnsi" w:hAnsiTheme="minorHAnsi" w:cstheme="minorHAnsi"/>
          <w:sz w:val="24"/>
          <w:szCs w:val="24"/>
        </w:rPr>
        <w:endnoteReference w:id="35"/>
      </w:r>
      <w:r w:rsidRPr="007501C8">
        <w:rPr>
          <w:rFonts w:asciiTheme="minorHAnsi" w:hAnsiTheme="minorHAnsi" w:cstheme="minorHAnsi"/>
          <w:sz w:val="24"/>
          <w:szCs w:val="24"/>
        </w:rPr>
        <w:t xml:space="preserve"> and it was implied that minutes should be shredded.</w:t>
      </w:r>
      <w:r w:rsidRPr="007501C8">
        <w:rPr>
          <w:rStyle w:val="EndnoteReference"/>
          <w:rFonts w:asciiTheme="minorHAnsi" w:hAnsiTheme="minorHAnsi" w:cstheme="minorHAnsi"/>
          <w:sz w:val="24"/>
          <w:szCs w:val="24"/>
        </w:rPr>
        <w:endnoteReference w:id="36"/>
      </w:r>
      <w:r w:rsidRPr="007501C8">
        <w:rPr>
          <w:rFonts w:asciiTheme="minorHAnsi" w:hAnsiTheme="minorHAnsi" w:cstheme="minorHAnsi"/>
          <w:sz w:val="24"/>
          <w:szCs w:val="24"/>
        </w:rPr>
        <w:t xml:space="preserve"> </w:t>
      </w:r>
    </w:p>
    <w:p w14:paraId="3809161B" w14:textId="2F33A540" w:rsidR="007C1D78" w:rsidRPr="007501C8" w:rsidRDefault="007C1D78"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The NFSP considers that the Post Office must explain to the Inquiry and the victims of Horizon why they did not change practices in the light of the advice provided by Simon Clarke on 2 August 2013</w:t>
      </w:r>
      <w:r>
        <w:rPr>
          <w:rFonts w:asciiTheme="minorHAnsi" w:hAnsiTheme="minorHAnsi" w:cstheme="minorHAnsi"/>
          <w:sz w:val="24"/>
          <w:szCs w:val="24"/>
        </w:rPr>
        <w:t xml:space="preserve"> (see </w:t>
      </w:r>
      <w:r w:rsidRPr="00F15F1B">
        <w:rPr>
          <w:rFonts w:asciiTheme="minorHAnsi" w:hAnsiTheme="minorHAnsi" w:cstheme="minorHAnsi"/>
          <w:sz w:val="24"/>
          <w:szCs w:val="24"/>
        </w:rPr>
        <w:t>Advice on Disclosure and the Duty to Records and Retain Material by Simon Clarke dated 2 August 2013 - POL00006799</w:t>
      </w:r>
      <w:r>
        <w:rPr>
          <w:rFonts w:asciiTheme="minorHAnsi" w:hAnsiTheme="minorHAnsi" w:cstheme="minorHAnsi"/>
          <w:sz w:val="24"/>
          <w:szCs w:val="24"/>
        </w:rPr>
        <w:t>)</w:t>
      </w:r>
      <w:r w:rsidRPr="00F15F1B">
        <w:rPr>
          <w:rFonts w:asciiTheme="minorHAnsi" w:hAnsiTheme="minorHAnsi" w:cstheme="minorHAnsi"/>
          <w:sz w:val="24"/>
          <w:szCs w:val="24"/>
        </w:rPr>
        <w:t>.</w:t>
      </w:r>
      <w:r w:rsidRPr="007501C8">
        <w:rPr>
          <w:rStyle w:val="EndnoteReference"/>
          <w:rFonts w:asciiTheme="minorHAnsi" w:hAnsiTheme="minorHAnsi" w:cstheme="minorHAnsi"/>
          <w:sz w:val="24"/>
          <w:szCs w:val="24"/>
        </w:rPr>
        <w:endnoteReference w:id="37"/>
      </w:r>
      <w:r w:rsidRPr="007501C8">
        <w:rPr>
          <w:rFonts w:asciiTheme="minorHAnsi" w:hAnsiTheme="minorHAnsi" w:cstheme="minorHAnsi"/>
          <w:sz w:val="24"/>
          <w:szCs w:val="24"/>
        </w:rPr>
        <w:t xml:space="preserve"> </w:t>
      </w:r>
    </w:p>
    <w:p w14:paraId="19A0DF49" w14:textId="4F55CE90" w:rsidR="007C1D78" w:rsidRPr="007501C8" w:rsidRDefault="007C1D78" w:rsidP="007501C8">
      <w:pPr>
        <w:pStyle w:val="ListParagraph"/>
        <w:numPr>
          <w:ilvl w:val="0"/>
          <w:numId w:val="6"/>
        </w:numPr>
        <w:spacing w:line="480" w:lineRule="auto"/>
        <w:rPr>
          <w:rFonts w:asciiTheme="minorHAnsi" w:eastAsia="Times New Roman" w:hAnsiTheme="minorHAnsi" w:cstheme="minorHAnsi"/>
          <w:color w:val="000000"/>
          <w:sz w:val="24"/>
          <w:szCs w:val="24"/>
        </w:rPr>
      </w:pPr>
      <w:r>
        <w:rPr>
          <w:rFonts w:asciiTheme="minorHAnsi" w:hAnsiTheme="minorHAnsi" w:cstheme="minorHAnsi"/>
          <w:sz w:val="24"/>
          <w:szCs w:val="24"/>
        </w:rPr>
        <w:t>It is also submitted that t</w:t>
      </w:r>
      <w:r w:rsidRPr="007501C8">
        <w:rPr>
          <w:rFonts w:asciiTheme="minorHAnsi" w:hAnsiTheme="minorHAnsi" w:cstheme="minorHAnsi"/>
          <w:sz w:val="24"/>
          <w:szCs w:val="24"/>
        </w:rPr>
        <w:t xml:space="preserve">he </w:t>
      </w:r>
      <w:r>
        <w:rPr>
          <w:rFonts w:asciiTheme="minorHAnsi" w:hAnsiTheme="minorHAnsi" w:cstheme="minorHAnsi"/>
          <w:sz w:val="24"/>
          <w:szCs w:val="24"/>
        </w:rPr>
        <w:t xml:space="preserve">apparent </w:t>
      </w:r>
      <w:r w:rsidRPr="007501C8">
        <w:rPr>
          <w:rFonts w:asciiTheme="minorHAnsi" w:hAnsiTheme="minorHAnsi" w:cstheme="minorHAnsi"/>
          <w:sz w:val="24"/>
          <w:szCs w:val="24"/>
        </w:rPr>
        <w:t>attempt to avoid disclosure of weaknesses in cases against Horizon users can also be seen in the difference between an Offender Report and a Discipline Report</w:t>
      </w:r>
      <w:r>
        <w:rPr>
          <w:rFonts w:asciiTheme="minorHAnsi" w:hAnsiTheme="minorHAnsi" w:cstheme="minorHAnsi"/>
          <w:sz w:val="24"/>
          <w:szCs w:val="24"/>
        </w:rPr>
        <w:t xml:space="preserve">. For instance, </w:t>
      </w:r>
      <w:r w:rsidRPr="007501C8">
        <w:rPr>
          <w:rFonts w:asciiTheme="minorHAnsi" w:hAnsiTheme="minorHAnsi" w:cstheme="minorHAnsi"/>
          <w:sz w:val="24"/>
          <w:szCs w:val="24"/>
        </w:rPr>
        <w:t>significant failures in security, supervision, procedures and product integrity had to be kept to the Offender Repor</w:t>
      </w:r>
      <w:r>
        <w:rPr>
          <w:rFonts w:asciiTheme="minorHAnsi" w:hAnsiTheme="minorHAnsi" w:cstheme="minorHAnsi"/>
          <w:sz w:val="24"/>
          <w:szCs w:val="24"/>
        </w:rPr>
        <w:t xml:space="preserve">t which was then </w:t>
      </w:r>
      <w:r w:rsidRPr="007501C8">
        <w:rPr>
          <w:rFonts w:asciiTheme="minorHAnsi" w:hAnsiTheme="minorHAnsi" w:cstheme="minorHAnsi"/>
          <w:sz w:val="24"/>
          <w:szCs w:val="24"/>
        </w:rPr>
        <w:t xml:space="preserve">kept confidential as it was considered to be subject to legal privilege. </w:t>
      </w:r>
      <w:r>
        <w:rPr>
          <w:rFonts w:asciiTheme="minorHAnsi" w:hAnsiTheme="minorHAnsi" w:cstheme="minorHAnsi"/>
          <w:sz w:val="24"/>
          <w:szCs w:val="24"/>
        </w:rPr>
        <w:t>However, those</w:t>
      </w:r>
      <w:r w:rsidRPr="007501C8">
        <w:rPr>
          <w:rFonts w:asciiTheme="minorHAnsi" w:hAnsiTheme="minorHAnsi" w:cstheme="minorHAnsi"/>
          <w:sz w:val="24"/>
          <w:szCs w:val="24"/>
        </w:rPr>
        <w:t xml:space="preserve"> failures were explicitly </w:t>
      </w:r>
      <w:r w:rsidRPr="007501C8">
        <w:rPr>
          <w:rFonts w:asciiTheme="minorHAnsi" w:hAnsiTheme="minorHAnsi" w:cstheme="minorHAnsi"/>
          <w:sz w:val="24"/>
          <w:szCs w:val="24"/>
        </w:rPr>
        <w:lastRenderedPageBreak/>
        <w:t xml:space="preserve">not contained within the Discipline Report </w:t>
      </w:r>
      <w:r>
        <w:rPr>
          <w:rFonts w:asciiTheme="minorHAnsi" w:hAnsiTheme="minorHAnsi" w:cstheme="minorHAnsi"/>
          <w:sz w:val="24"/>
          <w:szCs w:val="24"/>
        </w:rPr>
        <w:t>which</w:t>
      </w:r>
      <w:r w:rsidRPr="007501C8">
        <w:rPr>
          <w:rFonts w:asciiTheme="minorHAnsi" w:hAnsiTheme="minorHAnsi" w:cstheme="minorHAnsi"/>
          <w:sz w:val="24"/>
          <w:szCs w:val="24"/>
        </w:rPr>
        <w:t xml:space="preserve"> was disclosed to the person being investigated and therefore could have an impact on the ability to prosecute, and the reputation or security of the Post Office.</w:t>
      </w:r>
      <w:r w:rsidRPr="007501C8">
        <w:rPr>
          <w:rStyle w:val="EndnoteReference"/>
          <w:rFonts w:asciiTheme="minorHAnsi" w:hAnsiTheme="minorHAnsi" w:cstheme="minorHAnsi"/>
          <w:sz w:val="24"/>
          <w:szCs w:val="24"/>
        </w:rPr>
        <w:endnoteReference w:id="38"/>
      </w:r>
    </w:p>
    <w:p w14:paraId="075D0C86" w14:textId="102DC7BC" w:rsidR="007C1D78" w:rsidRPr="007501C8" w:rsidRDefault="007C1D78"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 xml:space="preserve">The NFSP </w:t>
      </w:r>
      <w:r>
        <w:rPr>
          <w:rFonts w:asciiTheme="minorHAnsi" w:hAnsiTheme="minorHAnsi" w:cstheme="minorHAnsi"/>
          <w:sz w:val="24"/>
          <w:szCs w:val="24"/>
        </w:rPr>
        <w:t>was</w:t>
      </w:r>
      <w:r w:rsidRPr="007501C8">
        <w:rPr>
          <w:rFonts w:asciiTheme="minorHAnsi" w:hAnsiTheme="minorHAnsi" w:cstheme="minorHAnsi"/>
          <w:sz w:val="24"/>
          <w:szCs w:val="24"/>
        </w:rPr>
        <w:t xml:space="preserve"> </w:t>
      </w:r>
      <w:r>
        <w:rPr>
          <w:rFonts w:asciiTheme="minorHAnsi" w:hAnsiTheme="minorHAnsi" w:cstheme="minorHAnsi"/>
          <w:sz w:val="24"/>
          <w:szCs w:val="24"/>
        </w:rPr>
        <w:t>shocked</w:t>
      </w:r>
      <w:r w:rsidRPr="007501C8">
        <w:rPr>
          <w:rFonts w:asciiTheme="minorHAnsi" w:hAnsiTheme="minorHAnsi" w:cstheme="minorHAnsi"/>
          <w:sz w:val="24"/>
          <w:szCs w:val="24"/>
        </w:rPr>
        <w:t xml:space="preserve"> to hear the evidence of Elaine Cottam and Stephen Bradshaw that witness statements signed by them, and submitted as evidence in court proceedings were in fact drafted by others</w:t>
      </w:r>
      <w:r w:rsidR="0098608D">
        <w:rPr>
          <w:rFonts w:asciiTheme="minorHAnsi" w:hAnsiTheme="minorHAnsi" w:cstheme="minorHAnsi"/>
          <w:sz w:val="24"/>
          <w:szCs w:val="24"/>
        </w:rPr>
        <w:t xml:space="preserve"> </w:t>
      </w:r>
      <w:r w:rsidRPr="007501C8">
        <w:rPr>
          <w:rFonts w:asciiTheme="minorHAnsi" w:hAnsiTheme="minorHAnsi" w:cstheme="minorHAnsi"/>
          <w:sz w:val="24"/>
          <w:szCs w:val="24"/>
        </w:rPr>
        <w:t>and were not their words.</w:t>
      </w:r>
      <w:r w:rsidRPr="007501C8">
        <w:rPr>
          <w:rStyle w:val="EndnoteReference"/>
          <w:rFonts w:asciiTheme="minorHAnsi" w:hAnsiTheme="minorHAnsi" w:cstheme="minorHAnsi"/>
          <w:sz w:val="24"/>
          <w:szCs w:val="24"/>
        </w:rPr>
        <w:endnoteReference w:id="39"/>
      </w:r>
      <w:r w:rsidRPr="007501C8">
        <w:rPr>
          <w:rFonts w:asciiTheme="minorHAnsi" w:hAnsiTheme="minorHAnsi" w:cstheme="minorHAnsi"/>
          <w:sz w:val="24"/>
          <w:szCs w:val="24"/>
        </w:rPr>
        <w:t xml:space="preserve"> </w:t>
      </w:r>
      <w:r>
        <w:rPr>
          <w:rFonts w:asciiTheme="minorHAnsi" w:hAnsiTheme="minorHAnsi" w:cstheme="minorHAnsi"/>
          <w:sz w:val="24"/>
          <w:szCs w:val="24"/>
        </w:rPr>
        <w:t xml:space="preserve"> It is submitted that t</w:t>
      </w:r>
      <w:r w:rsidRPr="007501C8">
        <w:rPr>
          <w:rFonts w:asciiTheme="minorHAnsi" w:hAnsiTheme="minorHAnsi" w:cstheme="minorHAnsi"/>
          <w:sz w:val="24"/>
          <w:szCs w:val="24"/>
        </w:rPr>
        <w:t>he evidence that Mr Bradshaw’s statement was drafted in part by PR and partly by lawyers is especially concerning.</w:t>
      </w:r>
      <w:r w:rsidRPr="007501C8">
        <w:rPr>
          <w:rStyle w:val="EndnoteReference"/>
          <w:rFonts w:asciiTheme="minorHAnsi" w:hAnsiTheme="minorHAnsi" w:cstheme="minorHAnsi"/>
          <w:sz w:val="24"/>
          <w:szCs w:val="24"/>
        </w:rPr>
        <w:endnoteReference w:id="40"/>
      </w:r>
      <w:r w:rsidRPr="007501C8">
        <w:rPr>
          <w:rFonts w:asciiTheme="minorHAnsi" w:hAnsiTheme="minorHAnsi" w:cstheme="minorHAnsi"/>
          <w:sz w:val="24"/>
          <w:szCs w:val="24"/>
        </w:rPr>
        <w:t xml:space="preserve"> </w:t>
      </w:r>
    </w:p>
    <w:p w14:paraId="30C63537" w14:textId="77777777" w:rsidR="0098608D" w:rsidRDefault="007C1D78"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 xml:space="preserve">Finally in relation to legal duties, the NFSP </w:t>
      </w:r>
      <w:r>
        <w:rPr>
          <w:rFonts w:asciiTheme="minorHAnsi" w:hAnsiTheme="minorHAnsi" w:cstheme="minorHAnsi"/>
          <w:sz w:val="24"/>
          <w:szCs w:val="24"/>
        </w:rPr>
        <w:t>was</w:t>
      </w:r>
      <w:r w:rsidRPr="007501C8">
        <w:rPr>
          <w:rFonts w:asciiTheme="minorHAnsi" w:hAnsiTheme="minorHAnsi" w:cstheme="minorHAnsi"/>
          <w:sz w:val="24"/>
          <w:szCs w:val="24"/>
        </w:rPr>
        <w:t xml:space="preserve"> shocked to hear that there was “quite a common practice by the Criminal Law Team… that there would be a charge of theft and then also charges of false accounting” even when the Post Office’s own investigators concluded that there was no evidence of theft in relation to a shortfall</w:t>
      </w:r>
      <w:r>
        <w:rPr>
          <w:rFonts w:asciiTheme="minorHAnsi" w:hAnsiTheme="minorHAnsi" w:cstheme="minorHAnsi"/>
          <w:sz w:val="24"/>
          <w:szCs w:val="24"/>
        </w:rPr>
        <w:t xml:space="preserve"> (see for example, </w:t>
      </w:r>
      <w:r w:rsidRPr="00011E25">
        <w:rPr>
          <w:rFonts w:asciiTheme="minorHAnsi" w:hAnsiTheme="minorHAnsi" w:cstheme="minorHAnsi"/>
          <w:sz w:val="24"/>
          <w:szCs w:val="24"/>
        </w:rPr>
        <w:t>David Pardoe</w:t>
      </w:r>
      <w:r>
        <w:rPr>
          <w:rFonts w:asciiTheme="minorHAnsi" w:hAnsiTheme="minorHAnsi" w:cstheme="minorHAnsi"/>
          <w:sz w:val="24"/>
          <w:szCs w:val="24"/>
        </w:rPr>
        <w:t xml:space="preserve"> on the </w:t>
      </w:r>
      <w:r w:rsidRPr="00011E25">
        <w:rPr>
          <w:rFonts w:asciiTheme="minorHAnsi" w:hAnsiTheme="minorHAnsi" w:cstheme="minorHAnsi"/>
          <w:sz w:val="24"/>
          <w:szCs w:val="24"/>
        </w:rPr>
        <w:t>29</w:t>
      </w:r>
      <w:r w:rsidRPr="00011E25">
        <w:rPr>
          <w:rFonts w:asciiTheme="minorHAnsi" w:hAnsiTheme="minorHAnsi" w:cstheme="minorHAnsi"/>
          <w:sz w:val="24"/>
          <w:szCs w:val="24"/>
          <w:vertAlign w:val="superscript"/>
        </w:rPr>
        <w:t>th</w:t>
      </w:r>
      <w:r>
        <w:rPr>
          <w:rFonts w:asciiTheme="minorHAnsi" w:hAnsiTheme="minorHAnsi" w:cstheme="minorHAnsi"/>
          <w:sz w:val="24"/>
          <w:szCs w:val="24"/>
        </w:rPr>
        <w:t xml:space="preserve"> of</w:t>
      </w:r>
      <w:r w:rsidRPr="00011E25">
        <w:rPr>
          <w:rFonts w:asciiTheme="minorHAnsi" w:hAnsiTheme="minorHAnsi" w:cstheme="minorHAnsi"/>
          <w:sz w:val="24"/>
          <w:szCs w:val="24"/>
        </w:rPr>
        <w:t xml:space="preserve"> November </w:t>
      </w:r>
      <w:r>
        <w:rPr>
          <w:rFonts w:asciiTheme="minorHAnsi" w:hAnsiTheme="minorHAnsi" w:cstheme="minorHAnsi"/>
          <w:sz w:val="24"/>
          <w:szCs w:val="24"/>
        </w:rPr>
        <w:t>at pages</w:t>
      </w:r>
      <w:r w:rsidRPr="00011E25">
        <w:rPr>
          <w:rFonts w:asciiTheme="minorHAnsi" w:hAnsiTheme="minorHAnsi" w:cstheme="minorHAnsi"/>
          <w:sz w:val="24"/>
          <w:szCs w:val="24"/>
        </w:rPr>
        <w:t xml:space="preserve"> 133 – 134</w:t>
      </w:r>
      <w:r>
        <w:rPr>
          <w:rFonts w:asciiTheme="minorHAnsi" w:hAnsiTheme="minorHAnsi" w:cstheme="minorHAnsi"/>
          <w:sz w:val="24"/>
          <w:szCs w:val="24"/>
        </w:rPr>
        <w:t xml:space="preserve">; </w:t>
      </w:r>
      <w:r w:rsidRPr="00011E25">
        <w:rPr>
          <w:rFonts w:asciiTheme="minorHAnsi" w:hAnsiTheme="minorHAnsi" w:cstheme="minorHAnsi"/>
          <w:sz w:val="24"/>
          <w:szCs w:val="24"/>
        </w:rPr>
        <w:t xml:space="preserve"> Josephine Hamiliton Offences Report, dated 17 May 2006, POL00047955 at p</w:t>
      </w:r>
      <w:r>
        <w:rPr>
          <w:rFonts w:asciiTheme="minorHAnsi" w:hAnsiTheme="minorHAnsi" w:cstheme="minorHAnsi"/>
          <w:sz w:val="24"/>
          <w:szCs w:val="24"/>
        </w:rPr>
        <w:t xml:space="preserve">age </w:t>
      </w:r>
      <w:r w:rsidRPr="00011E25">
        <w:rPr>
          <w:rFonts w:asciiTheme="minorHAnsi" w:hAnsiTheme="minorHAnsi" w:cstheme="minorHAnsi"/>
          <w:sz w:val="24"/>
          <w:szCs w:val="24"/>
        </w:rPr>
        <w:t xml:space="preserve">3; Diane Matthews, </w:t>
      </w:r>
      <w:r>
        <w:rPr>
          <w:rFonts w:asciiTheme="minorHAnsi" w:hAnsiTheme="minorHAnsi" w:cstheme="minorHAnsi"/>
          <w:sz w:val="24"/>
          <w:szCs w:val="24"/>
        </w:rPr>
        <w:t xml:space="preserve">on the </w:t>
      </w:r>
      <w:r w:rsidRPr="00011E25">
        <w:rPr>
          <w:rFonts w:asciiTheme="minorHAnsi" w:hAnsiTheme="minorHAnsi" w:cstheme="minorHAnsi"/>
          <w:sz w:val="24"/>
          <w:szCs w:val="24"/>
        </w:rPr>
        <w:t>24</w:t>
      </w:r>
      <w:r w:rsidRPr="00011E25">
        <w:rPr>
          <w:rFonts w:asciiTheme="minorHAnsi" w:hAnsiTheme="minorHAnsi" w:cstheme="minorHAnsi"/>
          <w:sz w:val="24"/>
          <w:szCs w:val="24"/>
          <w:vertAlign w:val="superscript"/>
        </w:rPr>
        <w:t>th</w:t>
      </w:r>
      <w:r>
        <w:rPr>
          <w:rFonts w:asciiTheme="minorHAnsi" w:hAnsiTheme="minorHAnsi" w:cstheme="minorHAnsi"/>
          <w:sz w:val="24"/>
          <w:szCs w:val="24"/>
        </w:rPr>
        <w:t xml:space="preserve"> of</w:t>
      </w:r>
      <w:r w:rsidRPr="00011E25">
        <w:rPr>
          <w:rFonts w:asciiTheme="minorHAnsi" w:hAnsiTheme="minorHAnsi" w:cstheme="minorHAnsi"/>
          <w:sz w:val="24"/>
          <w:szCs w:val="24"/>
        </w:rPr>
        <w:t xml:space="preserve"> November </w:t>
      </w:r>
      <w:r>
        <w:rPr>
          <w:rFonts w:asciiTheme="minorHAnsi" w:hAnsiTheme="minorHAnsi" w:cstheme="minorHAnsi"/>
          <w:sz w:val="24"/>
          <w:szCs w:val="24"/>
        </w:rPr>
        <w:t xml:space="preserve">at pages </w:t>
      </w:r>
      <w:r w:rsidRPr="00011E25">
        <w:rPr>
          <w:rFonts w:asciiTheme="minorHAnsi" w:hAnsiTheme="minorHAnsi" w:cstheme="minorHAnsi"/>
          <w:sz w:val="24"/>
          <w:szCs w:val="24"/>
        </w:rPr>
        <w:t xml:space="preserve">119 – 123; </w:t>
      </w:r>
      <w:r>
        <w:rPr>
          <w:rFonts w:asciiTheme="minorHAnsi" w:hAnsiTheme="minorHAnsi" w:cstheme="minorHAnsi"/>
          <w:sz w:val="24"/>
          <w:szCs w:val="24"/>
        </w:rPr>
        <w:t xml:space="preserve">the </w:t>
      </w:r>
      <w:r w:rsidRPr="00011E25">
        <w:rPr>
          <w:rFonts w:asciiTheme="minorHAnsi" w:hAnsiTheme="minorHAnsi" w:cstheme="minorHAnsi"/>
          <w:sz w:val="24"/>
          <w:szCs w:val="24"/>
        </w:rPr>
        <w:t>Court of Appeal Judgment between Josephine Hamilton &amp; Others and Post Office Limited, dated 23 April 2021, POL00113278 at p</w:t>
      </w:r>
      <w:r>
        <w:rPr>
          <w:rFonts w:asciiTheme="minorHAnsi" w:hAnsiTheme="minorHAnsi" w:cstheme="minorHAnsi"/>
          <w:sz w:val="24"/>
          <w:szCs w:val="24"/>
        </w:rPr>
        <w:t xml:space="preserve">age </w:t>
      </w:r>
      <w:r w:rsidRPr="00011E25">
        <w:rPr>
          <w:rFonts w:asciiTheme="minorHAnsi" w:hAnsiTheme="minorHAnsi" w:cstheme="minorHAnsi"/>
          <w:sz w:val="24"/>
          <w:szCs w:val="24"/>
        </w:rPr>
        <w:t xml:space="preserve">38; </w:t>
      </w:r>
      <w:r>
        <w:rPr>
          <w:rFonts w:asciiTheme="minorHAnsi" w:hAnsiTheme="minorHAnsi" w:cstheme="minorHAnsi"/>
          <w:sz w:val="24"/>
          <w:szCs w:val="24"/>
        </w:rPr>
        <w:t xml:space="preserve">and </w:t>
      </w:r>
      <w:r w:rsidRPr="00011E25">
        <w:rPr>
          <w:rFonts w:asciiTheme="minorHAnsi" w:hAnsiTheme="minorHAnsi" w:cstheme="minorHAnsi"/>
          <w:sz w:val="24"/>
          <w:szCs w:val="24"/>
        </w:rPr>
        <w:t>Duncan Atkinson KC, 18 December 2023, p56</w:t>
      </w:r>
      <w:r>
        <w:rPr>
          <w:rFonts w:asciiTheme="minorHAnsi" w:hAnsiTheme="minorHAnsi" w:cstheme="minorHAnsi"/>
          <w:sz w:val="24"/>
          <w:szCs w:val="24"/>
        </w:rPr>
        <w:t>)</w:t>
      </w:r>
      <w:r w:rsidRPr="00011E25">
        <w:rPr>
          <w:rFonts w:asciiTheme="minorHAnsi" w:hAnsiTheme="minorHAnsi" w:cstheme="minorHAnsi"/>
          <w:sz w:val="24"/>
          <w:szCs w:val="24"/>
        </w:rPr>
        <w:t>.</w:t>
      </w:r>
      <w:r w:rsidRPr="00011E25">
        <w:rPr>
          <w:rStyle w:val="EndnoteReference"/>
          <w:rFonts w:asciiTheme="minorHAnsi" w:hAnsiTheme="minorHAnsi" w:cstheme="minorHAnsi"/>
          <w:sz w:val="24"/>
          <w:szCs w:val="24"/>
        </w:rPr>
        <w:endnoteReference w:id="41"/>
      </w:r>
      <w:r w:rsidRPr="007501C8">
        <w:rPr>
          <w:rFonts w:asciiTheme="minorHAnsi" w:hAnsiTheme="minorHAnsi" w:cstheme="minorHAnsi"/>
          <w:sz w:val="24"/>
          <w:szCs w:val="24"/>
        </w:rPr>
        <w:t xml:space="preserve"> </w:t>
      </w:r>
    </w:p>
    <w:p w14:paraId="36C1363C" w14:textId="65BC3EE1" w:rsidR="007C1D78" w:rsidRPr="007501C8" w:rsidRDefault="007C1D78"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It is the NFSP’s understanding that a prosecutor cannot</w:t>
      </w:r>
      <w:r>
        <w:rPr>
          <w:rFonts w:asciiTheme="minorHAnsi" w:hAnsiTheme="minorHAnsi" w:cstheme="minorHAnsi"/>
          <w:sz w:val="24"/>
          <w:szCs w:val="24"/>
        </w:rPr>
        <w:t xml:space="preserve"> or should not</w:t>
      </w:r>
      <w:r w:rsidRPr="007501C8">
        <w:rPr>
          <w:rFonts w:asciiTheme="minorHAnsi" w:hAnsiTheme="minorHAnsi" w:cstheme="minorHAnsi"/>
          <w:sz w:val="24"/>
          <w:szCs w:val="24"/>
        </w:rPr>
        <w:t xml:space="preserve"> raise a charge where there is no</w:t>
      </w:r>
      <w:r>
        <w:rPr>
          <w:rFonts w:asciiTheme="minorHAnsi" w:hAnsiTheme="minorHAnsi" w:cstheme="minorHAnsi"/>
          <w:sz w:val="24"/>
          <w:szCs w:val="24"/>
        </w:rPr>
        <w:t>t sufficient</w:t>
      </w:r>
      <w:r w:rsidRPr="007501C8">
        <w:rPr>
          <w:rFonts w:asciiTheme="minorHAnsi" w:hAnsiTheme="minorHAnsi" w:cstheme="minorHAnsi"/>
          <w:sz w:val="24"/>
          <w:szCs w:val="24"/>
        </w:rPr>
        <w:t xml:space="preserve"> evidence </w:t>
      </w:r>
      <w:r>
        <w:rPr>
          <w:rFonts w:asciiTheme="minorHAnsi" w:hAnsiTheme="minorHAnsi" w:cstheme="minorHAnsi"/>
          <w:sz w:val="24"/>
          <w:szCs w:val="24"/>
        </w:rPr>
        <w:t xml:space="preserve">to </w:t>
      </w:r>
      <w:r w:rsidRPr="007501C8">
        <w:rPr>
          <w:rFonts w:asciiTheme="minorHAnsi" w:hAnsiTheme="minorHAnsi" w:cstheme="minorHAnsi"/>
          <w:sz w:val="24"/>
          <w:szCs w:val="24"/>
        </w:rPr>
        <w:t>support</w:t>
      </w:r>
      <w:r>
        <w:rPr>
          <w:rFonts w:asciiTheme="minorHAnsi" w:hAnsiTheme="minorHAnsi" w:cstheme="minorHAnsi"/>
          <w:sz w:val="24"/>
          <w:szCs w:val="24"/>
        </w:rPr>
        <w:t xml:space="preserve"> that</w:t>
      </w:r>
      <w:r w:rsidRPr="007501C8">
        <w:rPr>
          <w:rFonts w:asciiTheme="minorHAnsi" w:hAnsiTheme="minorHAnsi" w:cstheme="minorHAnsi"/>
          <w:sz w:val="24"/>
          <w:szCs w:val="24"/>
        </w:rPr>
        <w:t xml:space="preserve"> charge. It</w:t>
      </w:r>
      <w:r>
        <w:rPr>
          <w:rFonts w:asciiTheme="minorHAnsi" w:hAnsiTheme="minorHAnsi" w:cstheme="minorHAnsi"/>
          <w:sz w:val="24"/>
          <w:szCs w:val="24"/>
        </w:rPr>
        <w:t xml:space="preserve"> is submitted that there is evidence before the Inquiry which appears to show that t</w:t>
      </w:r>
      <w:r w:rsidRPr="007501C8">
        <w:rPr>
          <w:rFonts w:asciiTheme="minorHAnsi" w:hAnsiTheme="minorHAnsi" w:cstheme="minorHAnsi"/>
          <w:sz w:val="24"/>
          <w:szCs w:val="24"/>
        </w:rPr>
        <w:t xml:space="preserve">he threat of a conviction of theft was used as a threat to encourage those subject to prosecutions to make a guilty plea to </w:t>
      </w:r>
      <w:r>
        <w:rPr>
          <w:rFonts w:asciiTheme="minorHAnsi" w:hAnsiTheme="minorHAnsi" w:cstheme="minorHAnsi"/>
          <w:sz w:val="24"/>
          <w:szCs w:val="24"/>
        </w:rPr>
        <w:t xml:space="preserve">the alternative charge </w:t>
      </w:r>
      <w:r w:rsidRPr="007501C8">
        <w:rPr>
          <w:rFonts w:asciiTheme="minorHAnsi" w:hAnsiTheme="minorHAnsi" w:cstheme="minorHAnsi"/>
          <w:sz w:val="24"/>
          <w:szCs w:val="24"/>
        </w:rPr>
        <w:t>false accounting</w:t>
      </w:r>
      <w:r w:rsidR="002750E5">
        <w:rPr>
          <w:rFonts w:asciiTheme="minorHAnsi" w:hAnsiTheme="minorHAnsi" w:cstheme="minorHAnsi"/>
          <w:sz w:val="24"/>
          <w:szCs w:val="24"/>
        </w:rPr>
        <w:t>.</w:t>
      </w:r>
      <w:r w:rsidRPr="007501C8">
        <w:rPr>
          <w:rStyle w:val="EndnoteReference"/>
          <w:rFonts w:asciiTheme="minorHAnsi" w:hAnsiTheme="minorHAnsi" w:cstheme="minorHAnsi"/>
          <w:sz w:val="24"/>
          <w:szCs w:val="24"/>
        </w:rPr>
        <w:endnoteReference w:id="42"/>
      </w:r>
      <w:r w:rsidRPr="007501C8">
        <w:rPr>
          <w:rFonts w:asciiTheme="minorHAnsi" w:hAnsiTheme="minorHAnsi" w:cstheme="minorHAnsi"/>
          <w:sz w:val="24"/>
          <w:szCs w:val="24"/>
        </w:rPr>
        <w:t xml:space="preserve"> In relation to criminal proceedings in Scotland</w:t>
      </w:r>
      <w:r>
        <w:rPr>
          <w:rFonts w:asciiTheme="minorHAnsi" w:hAnsiTheme="minorHAnsi" w:cstheme="minorHAnsi"/>
          <w:sz w:val="24"/>
          <w:szCs w:val="24"/>
        </w:rPr>
        <w:t xml:space="preserve">, the NFSP notes that while it was for the Procurator Fiscal to take the decision on criminal </w:t>
      </w:r>
      <w:r>
        <w:rPr>
          <w:rFonts w:asciiTheme="minorHAnsi" w:hAnsiTheme="minorHAnsi" w:cstheme="minorHAnsi"/>
          <w:sz w:val="24"/>
          <w:szCs w:val="24"/>
        </w:rPr>
        <w:lastRenderedPageBreak/>
        <w:t xml:space="preserve">proceedings, they were wholly reliant on the Post Office as a Reporter and a Specialist Reporting Agency to provide all relevant evidence and to follow the guidance and training given to them by the Crown Office and Procurator Fiscal Service.  </w:t>
      </w:r>
      <w:r w:rsidRPr="007501C8">
        <w:rPr>
          <w:rFonts w:asciiTheme="minorHAnsi" w:hAnsiTheme="minorHAnsi" w:cstheme="minorHAnsi"/>
          <w:sz w:val="24"/>
          <w:szCs w:val="24"/>
        </w:rPr>
        <w:t xml:space="preserve">  </w:t>
      </w:r>
    </w:p>
    <w:p w14:paraId="1F9F32D4" w14:textId="01738853" w:rsidR="007C1D78" w:rsidRPr="007501C8" w:rsidRDefault="007C1D78" w:rsidP="007501C8">
      <w:pPr>
        <w:spacing w:line="480" w:lineRule="auto"/>
        <w:rPr>
          <w:rFonts w:cstheme="minorHAnsi"/>
          <w:b/>
          <w:bCs/>
          <w:sz w:val="24"/>
          <w:szCs w:val="24"/>
        </w:rPr>
      </w:pPr>
      <w:r w:rsidRPr="007501C8">
        <w:rPr>
          <w:rFonts w:cstheme="minorHAnsi"/>
          <w:b/>
          <w:bCs/>
          <w:sz w:val="24"/>
          <w:szCs w:val="24"/>
        </w:rPr>
        <w:t>The continuation of legal proceedings despite known issues</w:t>
      </w:r>
    </w:p>
    <w:p w14:paraId="00479A6F" w14:textId="054608F4" w:rsidR="007C1D78" w:rsidRPr="007501C8" w:rsidRDefault="007C1D78"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 xml:space="preserve">Therefore, it seems clear to the NFSP </w:t>
      </w:r>
      <w:r>
        <w:rPr>
          <w:rFonts w:asciiTheme="minorHAnsi" w:hAnsiTheme="minorHAnsi" w:cstheme="minorHAnsi"/>
          <w:sz w:val="24"/>
          <w:szCs w:val="24"/>
        </w:rPr>
        <w:t xml:space="preserve">on the evidence heard </w:t>
      </w:r>
      <w:r w:rsidRPr="007501C8">
        <w:rPr>
          <w:rFonts w:asciiTheme="minorHAnsi" w:hAnsiTheme="minorHAnsi" w:cstheme="minorHAnsi"/>
          <w:sz w:val="24"/>
          <w:szCs w:val="24"/>
        </w:rPr>
        <w:t xml:space="preserve">that the attitude of the Post Office and those instructed by them in relation to action against Horizon users </w:t>
      </w:r>
      <w:r>
        <w:rPr>
          <w:rFonts w:asciiTheme="minorHAnsi" w:hAnsiTheme="minorHAnsi" w:cstheme="minorHAnsi"/>
          <w:sz w:val="24"/>
          <w:szCs w:val="24"/>
        </w:rPr>
        <w:t>appears</w:t>
      </w:r>
      <w:r w:rsidRPr="007501C8">
        <w:rPr>
          <w:rFonts w:asciiTheme="minorHAnsi" w:hAnsiTheme="minorHAnsi" w:cstheme="minorHAnsi"/>
          <w:sz w:val="24"/>
          <w:szCs w:val="24"/>
        </w:rPr>
        <w:t xml:space="preserve"> to have been to continue with legal proceedings despite known issues</w:t>
      </w:r>
      <w:r>
        <w:rPr>
          <w:rFonts w:asciiTheme="minorHAnsi" w:hAnsiTheme="minorHAnsi" w:cstheme="minorHAnsi"/>
          <w:sz w:val="24"/>
          <w:szCs w:val="24"/>
        </w:rPr>
        <w:t xml:space="preserve"> with Horizon</w:t>
      </w:r>
      <w:r w:rsidRPr="007501C8">
        <w:rPr>
          <w:rFonts w:asciiTheme="minorHAnsi" w:hAnsiTheme="minorHAnsi" w:cstheme="minorHAnsi"/>
          <w:sz w:val="24"/>
          <w:szCs w:val="24"/>
        </w:rPr>
        <w:t xml:space="preserve">. </w:t>
      </w:r>
    </w:p>
    <w:p w14:paraId="13AEAB5A" w14:textId="77777777" w:rsidR="007C1D78" w:rsidRDefault="007C1D78"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The NFSP submits that it is clear through the Helen Rose Report, the associated correspondence with this, and Simon Clarke’s related advice</w:t>
      </w:r>
      <w:r w:rsidRPr="007501C8">
        <w:rPr>
          <w:rStyle w:val="EndnoteReference"/>
          <w:rFonts w:asciiTheme="minorHAnsi" w:hAnsiTheme="minorHAnsi" w:cstheme="minorHAnsi"/>
          <w:sz w:val="24"/>
          <w:szCs w:val="24"/>
        </w:rPr>
        <w:endnoteReference w:id="43"/>
      </w:r>
      <w:r w:rsidRPr="007501C8">
        <w:rPr>
          <w:rFonts w:asciiTheme="minorHAnsi" w:hAnsiTheme="minorHAnsi" w:cstheme="minorHAnsi"/>
          <w:sz w:val="24"/>
          <w:szCs w:val="24"/>
        </w:rPr>
        <w:t xml:space="preserve"> that the Post Office were aware there were concerns that the data relied upon in prosecutions “would not be giving a true picture,” and it</w:t>
      </w:r>
      <w:r>
        <w:rPr>
          <w:rFonts w:asciiTheme="minorHAnsi" w:hAnsiTheme="minorHAnsi" w:cstheme="minorHAnsi"/>
          <w:sz w:val="24"/>
          <w:szCs w:val="24"/>
        </w:rPr>
        <w:t xml:space="preserve"> appears from the evidence </w:t>
      </w:r>
      <w:r w:rsidRPr="007501C8">
        <w:rPr>
          <w:rFonts w:asciiTheme="minorHAnsi" w:hAnsiTheme="minorHAnsi" w:cstheme="minorHAnsi"/>
          <w:sz w:val="24"/>
          <w:szCs w:val="24"/>
        </w:rPr>
        <w:t xml:space="preserve">that the Post Office were aware that Gareth Jenkins knew of Horizon issues at that time. </w:t>
      </w:r>
    </w:p>
    <w:p w14:paraId="2156A4B0" w14:textId="2A166D61" w:rsidR="007C1D78" w:rsidRPr="0098608D" w:rsidRDefault="007C1D78" w:rsidP="00EA331C">
      <w:pPr>
        <w:pStyle w:val="FootnoteText"/>
        <w:numPr>
          <w:ilvl w:val="0"/>
          <w:numId w:val="6"/>
        </w:numPr>
        <w:spacing w:line="480" w:lineRule="auto"/>
        <w:rPr>
          <w:sz w:val="24"/>
          <w:szCs w:val="24"/>
        </w:rPr>
      </w:pPr>
      <w:r w:rsidRPr="00EA331C">
        <w:rPr>
          <w:rFonts w:asciiTheme="minorHAnsi" w:hAnsiTheme="minorHAnsi" w:cstheme="minorHAnsi"/>
          <w:sz w:val="24"/>
          <w:szCs w:val="24"/>
        </w:rPr>
        <w:t>The NFSP considers it utterly inappropriate that prior to the Helen Rose Report, when it was suggested to Rob Wilson that there should be a full investigation into Horizon integrity issues, he suggested that Horizon data was sound and provided advice that made it clear that the main concern was that such an investigation would have an impact on the ability to prosecute (see the e</w:t>
      </w:r>
      <w:r w:rsidRPr="00EA331C">
        <w:rPr>
          <w:sz w:val="24"/>
          <w:szCs w:val="24"/>
        </w:rPr>
        <w:t>mail from Rob Wilson to Dave Posnett, re Challenges to Horizon dated 3 March 2010 POL00106867 at page 1).</w:t>
      </w:r>
      <w:r w:rsidRPr="00EA331C">
        <w:rPr>
          <w:rStyle w:val="EndnoteReference"/>
          <w:rFonts w:asciiTheme="minorHAnsi" w:hAnsiTheme="minorHAnsi" w:cstheme="minorHAnsi"/>
          <w:sz w:val="24"/>
          <w:szCs w:val="24"/>
        </w:rPr>
        <w:t xml:space="preserve"> </w:t>
      </w:r>
      <w:r w:rsidRPr="00EA331C">
        <w:rPr>
          <w:rStyle w:val="EndnoteReference"/>
          <w:rFonts w:asciiTheme="minorHAnsi" w:hAnsiTheme="minorHAnsi" w:cstheme="minorHAnsi"/>
          <w:sz w:val="24"/>
          <w:szCs w:val="24"/>
        </w:rPr>
        <w:endnoteReference w:id="44"/>
      </w:r>
      <w:r w:rsidRPr="00EA331C">
        <w:rPr>
          <w:rStyle w:val="EndnoteReference"/>
          <w:rFonts w:asciiTheme="minorHAnsi" w:hAnsiTheme="minorHAnsi" w:cstheme="minorHAnsi"/>
          <w:sz w:val="24"/>
          <w:szCs w:val="24"/>
        </w:rPr>
        <w:t xml:space="preserve"> </w:t>
      </w:r>
      <w:r w:rsidRPr="00EA331C">
        <w:rPr>
          <w:rFonts w:cstheme="minorHAnsi"/>
          <w:sz w:val="24"/>
          <w:szCs w:val="24"/>
        </w:rPr>
        <w:t xml:space="preserve"> The NFSP notes that nowhere in this advice d</w:t>
      </w:r>
      <w:r>
        <w:rPr>
          <w:rFonts w:cstheme="minorHAnsi"/>
          <w:sz w:val="24"/>
          <w:szCs w:val="24"/>
        </w:rPr>
        <w:t>id</w:t>
      </w:r>
      <w:r w:rsidRPr="00EA331C">
        <w:rPr>
          <w:rFonts w:cstheme="minorHAnsi"/>
          <w:sz w:val="24"/>
          <w:szCs w:val="24"/>
        </w:rPr>
        <w:t xml:space="preserve"> Mr Wilson consider the impact on innocent people should Horizon not be robust. </w:t>
      </w:r>
    </w:p>
    <w:p w14:paraId="2325EABA" w14:textId="162AA900" w:rsidR="0098608D" w:rsidRPr="007501C8" w:rsidRDefault="0098608D" w:rsidP="0098608D">
      <w:pPr>
        <w:pStyle w:val="FootnoteText"/>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It seems to the NFSP that</w:t>
      </w:r>
      <w:r>
        <w:rPr>
          <w:rFonts w:asciiTheme="minorHAnsi" w:hAnsiTheme="minorHAnsi" w:cstheme="minorHAnsi"/>
          <w:sz w:val="24"/>
          <w:szCs w:val="24"/>
        </w:rPr>
        <w:t>,</w:t>
      </w:r>
      <w:r w:rsidRPr="007501C8">
        <w:rPr>
          <w:rFonts w:asciiTheme="minorHAnsi" w:hAnsiTheme="minorHAnsi" w:cstheme="minorHAnsi"/>
          <w:sz w:val="24"/>
          <w:szCs w:val="24"/>
        </w:rPr>
        <w:t xml:space="preserve"> at least partially as a result of the </w:t>
      </w:r>
      <w:r>
        <w:rPr>
          <w:rFonts w:asciiTheme="minorHAnsi" w:hAnsiTheme="minorHAnsi" w:cstheme="minorHAnsi"/>
          <w:sz w:val="24"/>
          <w:szCs w:val="24"/>
        </w:rPr>
        <w:t xml:space="preserve">likely </w:t>
      </w:r>
      <w:r w:rsidRPr="007501C8">
        <w:rPr>
          <w:rFonts w:asciiTheme="minorHAnsi" w:hAnsiTheme="minorHAnsi" w:cstheme="minorHAnsi"/>
          <w:sz w:val="24"/>
          <w:szCs w:val="24"/>
        </w:rPr>
        <w:t xml:space="preserve">impact of an investigation on the ability </w:t>
      </w:r>
      <w:r>
        <w:rPr>
          <w:rFonts w:asciiTheme="minorHAnsi" w:hAnsiTheme="minorHAnsi" w:cstheme="minorHAnsi"/>
          <w:sz w:val="24"/>
          <w:szCs w:val="24"/>
        </w:rPr>
        <w:t xml:space="preserve">of the Post Office </w:t>
      </w:r>
      <w:r w:rsidRPr="007501C8">
        <w:rPr>
          <w:rFonts w:asciiTheme="minorHAnsi" w:hAnsiTheme="minorHAnsi" w:cstheme="minorHAnsi"/>
          <w:sz w:val="24"/>
          <w:szCs w:val="24"/>
        </w:rPr>
        <w:t>to prosecute</w:t>
      </w:r>
      <w:r>
        <w:rPr>
          <w:rFonts w:asciiTheme="minorHAnsi" w:hAnsiTheme="minorHAnsi" w:cstheme="minorHAnsi"/>
          <w:sz w:val="24"/>
          <w:szCs w:val="24"/>
        </w:rPr>
        <w:t xml:space="preserve"> postmasters and others</w:t>
      </w:r>
      <w:r w:rsidRPr="007501C8">
        <w:rPr>
          <w:rFonts w:asciiTheme="minorHAnsi" w:hAnsiTheme="minorHAnsi" w:cstheme="minorHAnsi"/>
          <w:sz w:val="24"/>
          <w:szCs w:val="24"/>
        </w:rPr>
        <w:t xml:space="preserve">, the proposed independent review by an external organisation, such as Ernst and Young did not </w:t>
      </w:r>
      <w:r w:rsidRPr="007501C8">
        <w:rPr>
          <w:rFonts w:asciiTheme="minorHAnsi" w:hAnsiTheme="minorHAnsi" w:cstheme="minorHAnsi"/>
          <w:sz w:val="24"/>
          <w:szCs w:val="24"/>
        </w:rPr>
        <w:lastRenderedPageBreak/>
        <w:t>occur,</w:t>
      </w:r>
      <w:r w:rsidR="00BE1760" w:rsidRPr="007501C8">
        <w:rPr>
          <w:rStyle w:val="EndnoteReference"/>
          <w:rFonts w:asciiTheme="minorHAnsi" w:hAnsiTheme="minorHAnsi" w:cstheme="minorHAnsi"/>
          <w:sz w:val="24"/>
          <w:szCs w:val="24"/>
        </w:rPr>
        <w:endnoteReference w:id="45"/>
      </w:r>
      <w:r w:rsidR="00BE1760" w:rsidRPr="007501C8">
        <w:rPr>
          <w:rFonts w:asciiTheme="minorHAnsi" w:hAnsiTheme="minorHAnsi" w:cstheme="minorHAnsi"/>
          <w:sz w:val="24"/>
          <w:szCs w:val="24"/>
        </w:rPr>
        <w:t xml:space="preserve"> </w:t>
      </w:r>
      <w:r w:rsidR="00BE1760">
        <w:rPr>
          <w:rFonts w:asciiTheme="minorHAnsi" w:hAnsiTheme="minorHAnsi" w:cstheme="minorHAnsi"/>
          <w:sz w:val="24"/>
          <w:szCs w:val="24"/>
        </w:rPr>
        <w:t>. I</w:t>
      </w:r>
      <w:r w:rsidR="00BE1760" w:rsidRPr="007501C8">
        <w:rPr>
          <w:rFonts w:asciiTheme="minorHAnsi" w:hAnsiTheme="minorHAnsi" w:cstheme="minorHAnsi"/>
          <w:sz w:val="24"/>
          <w:szCs w:val="24"/>
        </w:rPr>
        <w:t xml:space="preserve">nstead the Rod Ismay report, a supposedly independent report </w:t>
      </w:r>
      <w:r w:rsidR="00BE1760">
        <w:rPr>
          <w:rFonts w:asciiTheme="minorHAnsi" w:hAnsiTheme="minorHAnsi" w:cstheme="minorHAnsi"/>
          <w:sz w:val="24"/>
          <w:szCs w:val="24"/>
        </w:rPr>
        <w:t>but which ended up</w:t>
      </w:r>
      <w:r w:rsidR="00BE1760" w:rsidRPr="007501C8">
        <w:rPr>
          <w:rFonts w:asciiTheme="minorHAnsi" w:hAnsiTheme="minorHAnsi" w:cstheme="minorHAnsi"/>
          <w:sz w:val="24"/>
          <w:szCs w:val="24"/>
        </w:rPr>
        <w:t xml:space="preserve"> look</w:t>
      </w:r>
      <w:r w:rsidR="00BE1760">
        <w:rPr>
          <w:rFonts w:asciiTheme="minorHAnsi" w:hAnsiTheme="minorHAnsi" w:cstheme="minorHAnsi"/>
          <w:sz w:val="24"/>
          <w:szCs w:val="24"/>
        </w:rPr>
        <w:t>ing</w:t>
      </w:r>
      <w:r w:rsidR="00BE1760" w:rsidRPr="007501C8">
        <w:rPr>
          <w:rFonts w:asciiTheme="minorHAnsi" w:hAnsiTheme="minorHAnsi" w:cstheme="minorHAnsi"/>
          <w:sz w:val="24"/>
          <w:szCs w:val="24"/>
        </w:rPr>
        <w:t xml:space="preserve"> </w:t>
      </w:r>
      <w:r w:rsidR="00BE1760">
        <w:rPr>
          <w:rFonts w:asciiTheme="minorHAnsi" w:hAnsiTheme="minorHAnsi" w:cstheme="minorHAnsi"/>
          <w:sz w:val="24"/>
          <w:szCs w:val="24"/>
        </w:rPr>
        <w:t xml:space="preserve">only </w:t>
      </w:r>
      <w:r w:rsidR="00BE1760" w:rsidRPr="007501C8">
        <w:rPr>
          <w:rFonts w:asciiTheme="minorHAnsi" w:hAnsiTheme="minorHAnsi" w:cstheme="minorHAnsi"/>
          <w:sz w:val="24"/>
          <w:szCs w:val="24"/>
        </w:rPr>
        <w:t>at the evidence supporting the robustness of Horizon, was commissioned</w:t>
      </w:r>
      <w:r w:rsidR="00BE1760">
        <w:rPr>
          <w:rFonts w:asciiTheme="minorHAnsi" w:hAnsiTheme="minorHAnsi" w:cstheme="minorHAnsi"/>
          <w:sz w:val="24"/>
          <w:szCs w:val="24"/>
        </w:rPr>
        <w:t xml:space="preserve"> (see the evidence of Rod Ismay on the 11</w:t>
      </w:r>
      <w:r w:rsidR="00BE1760" w:rsidRPr="00781715">
        <w:rPr>
          <w:rFonts w:asciiTheme="minorHAnsi" w:hAnsiTheme="minorHAnsi" w:cstheme="minorHAnsi"/>
          <w:sz w:val="24"/>
          <w:szCs w:val="24"/>
          <w:vertAlign w:val="superscript"/>
        </w:rPr>
        <w:t>th</w:t>
      </w:r>
      <w:r w:rsidR="00BE1760">
        <w:rPr>
          <w:rFonts w:asciiTheme="minorHAnsi" w:hAnsiTheme="minorHAnsi" w:cstheme="minorHAnsi"/>
          <w:sz w:val="24"/>
          <w:szCs w:val="24"/>
        </w:rPr>
        <w:t xml:space="preserve"> of May at pages 103 – 104)</w:t>
      </w:r>
      <w:r w:rsidR="00BE1760" w:rsidRPr="007501C8">
        <w:rPr>
          <w:rFonts w:asciiTheme="minorHAnsi" w:hAnsiTheme="minorHAnsi" w:cstheme="minorHAnsi"/>
          <w:sz w:val="24"/>
          <w:szCs w:val="24"/>
        </w:rPr>
        <w:t>.</w:t>
      </w:r>
      <w:r w:rsidR="00BE1760" w:rsidRPr="007501C8">
        <w:rPr>
          <w:rStyle w:val="EndnoteReference"/>
          <w:rFonts w:asciiTheme="minorHAnsi" w:hAnsiTheme="minorHAnsi" w:cstheme="minorHAnsi"/>
          <w:sz w:val="24"/>
          <w:szCs w:val="24"/>
        </w:rPr>
        <w:endnoteReference w:id="46"/>
      </w:r>
      <w:r w:rsidR="00BE1760" w:rsidRPr="007501C8">
        <w:rPr>
          <w:rFonts w:asciiTheme="minorHAnsi" w:hAnsiTheme="minorHAnsi" w:cstheme="minorHAnsi"/>
          <w:sz w:val="24"/>
          <w:szCs w:val="24"/>
        </w:rPr>
        <w:t xml:space="preserve"> On the basis of this, Mr Wilson’s position that the Post Office should “</w:t>
      </w:r>
      <w:r w:rsidR="00BE1760" w:rsidRPr="0098608D">
        <w:rPr>
          <w:rFonts w:asciiTheme="minorHAnsi" w:hAnsiTheme="minorHAnsi" w:cstheme="minorHAnsi"/>
          <w:i/>
          <w:iCs/>
          <w:sz w:val="24"/>
          <w:szCs w:val="24"/>
        </w:rPr>
        <w:t>grit its teeth and get on with it</w:t>
      </w:r>
      <w:r w:rsidR="00BE1760" w:rsidRPr="007501C8">
        <w:rPr>
          <w:rFonts w:asciiTheme="minorHAnsi" w:hAnsiTheme="minorHAnsi" w:cstheme="minorHAnsi"/>
          <w:sz w:val="24"/>
          <w:szCs w:val="24"/>
        </w:rPr>
        <w:t>”</w:t>
      </w:r>
      <w:r w:rsidR="00BE1760" w:rsidRPr="007501C8">
        <w:rPr>
          <w:rStyle w:val="EndnoteReference"/>
          <w:rFonts w:asciiTheme="minorHAnsi" w:hAnsiTheme="minorHAnsi" w:cstheme="minorHAnsi"/>
          <w:sz w:val="24"/>
          <w:szCs w:val="24"/>
        </w:rPr>
        <w:endnoteReference w:id="47"/>
      </w:r>
      <w:r w:rsidR="00BE1760" w:rsidRPr="007501C8">
        <w:rPr>
          <w:rFonts w:asciiTheme="minorHAnsi" w:hAnsiTheme="minorHAnsi" w:cstheme="minorHAnsi"/>
          <w:sz w:val="24"/>
          <w:szCs w:val="24"/>
        </w:rPr>
        <w:t xml:space="preserve"> </w:t>
      </w:r>
      <w:r w:rsidRPr="007501C8">
        <w:rPr>
          <w:rFonts w:asciiTheme="minorHAnsi" w:hAnsiTheme="minorHAnsi" w:cstheme="minorHAnsi"/>
          <w:sz w:val="24"/>
          <w:szCs w:val="24"/>
        </w:rPr>
        <w:t>shows that the Post Office prioritised the ability to be able</w:t>
      </w:r>
      <w:r>
        <w:rPr>
          <w:rFonts w:asciiTheme="minorHAnsi" w:hAnsiTheme="minorHAnsi" w:cstheme="minorHAnsi"/>
          <w:sz w:val="24"/>
          <w:szCs w:val="24"/>
        </w:rPr>
        <w:t xml:space="preserve"> to</w:t>
      </w:r>
      <w:r w:rsidRPr="007501C8">
        <w:rPr>
          <w:rFonts w:asciiTheme="minorHAnsi" w:hAnsiTheme="minorHAnsi" w:cstheme="minorHAnsi"/>
          <w:sz w:val="24"/>
          <w:szCs w:val="24"/>
        </w:rPr>
        <w:t xml:space="preserve"> prosecut</w:t>
      </w:r>
      <w:r>
        <w:rPr>
          <w:rFonts w:asciiTheme="minorHAnsi" w:hAnsiTheme="minorHAnsi" w:cstheme="minorHAnsi"/>
          <w:sz w:val="24"/>
          <w:szCs w:val="24"/>
        </w:rPr>
        <w:t>e</w:t>
      </w:r>
      <w:r w:rsidRPr="007501C8">
        <w:rPr>
          <w:rFonts w:asciiTheme="minorHAnsi" w:hAnsiTheme="minorHAnsi" w:cstheme="minorHAnsi"/>
          <w:sz w:val="24"/>
          <w:szCs w:val="24"/>
        </w:rPr>
        <w:t xml:space="preserve"> above investigating known concerns</w:t>
      </w:r>
      <w:r w:rsidR="002750E5">
        <w:rPr>
          <w:rFonts w:asciiTheme="minorHAnsi" w:hAnsiTheme="minorHAnsi" w:cstheme="minorHAnsi"/>
          <w:sz w:val="24"/>
          <w:szCs w:val="24"/>
        </w:rPr>
        <w:t>.</w:t>
      </w:r>
    </w:p>
    <w:p w14:paraId="25FF3392" w14:textId="6649D2EA" w:rsidR="007C1D78" w:rsidRPr="007501C8" w:rsidRDefault="007C1D78" w:rsidP="007501C8">
      <w:pPr>
        <w:pStyle w:val="ListParagraph"/>
        <w:numPr>
          <w:ilvl w:val="0"/>
          <w:numId w:val="6"/>
        </w:numPr>
        <w:spacing w:line="480" w:lineRule="auto"/>
        <w:rPr>
          <w:rFonts w:asciiTheme="minorHAnsi" w:hAnsiTheme="minorHAnsi" w:cstheme="minorHAnsi"/>
          <w:sz w:val="24"/>
          <w:szCs w:val="24"/>
        </w:rPr>
      </w:pPr>
      <w:r>
        <w:rPr>
          <w:rFonts w:asciiTheme="minorHAnsi" w:hAnsiTheme="minorHAnsi" w:cstheme="minorHAnsi"/>
          <w:sz w:val="24"/>
          <w:szCs w:val="24"/>
        </w:rPr>
        <w:t xml:space="preserve">In addition, the NFSP submits that it was </w:t>
      </w:r>
      <w:r w:rsidRPr="007501C8">
        <w:rPr>
          <w:rFonts w:asciiTheme="minorHAnsi" w:hAnsiTheme="minorHAnsi" w:cstheme="minorHAnsi"/>
          <w:sz w:val="24"/>
          <w:szCs w:val="24"/>
        </w:rPr>
        <w:t>unacceptable that those within the Post Office</w:t>
      </w:r>
      <w:r>
        <w:rPr>
          <w:rFonts w:asciiTheme="minorHAnsi" w:hAnsiTheme="minorHAnsi" w:cstheme="minorHAnsi"/>
          <w:sz w:val="24"/>
          <w:szCs w:val="24"/>
        </w:rPr>
        <w:t xml:space="preserve"> who by then knew of Horizon integrity issues</w:t>
      </w:r>
      <w:r w:rsidRPr="007501C8">
        <w:rPr>
          <w:rFonts w:asciiTheme="minorHAnsi" w:hAnsiTheme="minorHAnsi" w:cstheme="minorHAnsi"/>
          <w:sz w:val="24"/>
          <w:szCs w:val="24"/>
        </w:rPr>
        <w:t xml:space="preserve"> did not have discussions about pausing prosecutions, due to the fear that this “</w:t>
      </w:r>
      <w:r w:rsidRPr="00CF771C">
        <w:rPr>
          <w:rFonts w:asciiTheme="minorHAnsi" w:hAnsiTheme="minorHAnsi" w:cstheme="minorHAnsi"/>
          <w:i/>
          <w:iCs/>
          <w:sz w:val="24"/>
          <w:szCs w:val="24"/>
        </w:rPr>
        <w:t>would immediately cast doubt on prosecutions that had been completed before.</w:t>
      </w:r>
      <w:r w:rsidRPr="007501C8">
        <w:rPr>
          <w:rFonts w:asciiTheme="minorHAnsi" w:hAnsiTheme="minorHAnsi" w:cstheme="minorHAnsi"/>
          <w:sz w:val="24"/>
          <w:szCs w:val="24"/>
        </w:rPr>
        <w:t>”</w:t>
      </w:r>
      <w:r>
        <w:rPr>
          <w:rFonts w:asciiTheme="minorHAnsi" w:hAnsiTheme="minorHAnsi" w:cstheme="minorHAnsi"/>
          <w:sz w:val="24"/>
          <w:szCs w:val="24"/>
        </w:rPr>
        <w:t xml:space="preserve"> (see the evidence of David Pardoe on 29</w:t>
      </w:r>
      <w:r w:rsidRPr="00781715">
        <w:rPr>
          <w:rFonts w:asciiTheme="minorHAnsi" w:hAnsiTheme="minorHAnsi" w:cstheme="minorHAnsi"/>
          <w:sz w:val="24"/>
          <w:szCs w:val="24"/>
          <w:vertAlign w:val="superscript"/>
        </w:rPr>
        <w:t>th</w:t>
      </w:r>
      <w:r>
        <w:rPr>
          <w:rFonts w:asciiTheme="minorHAnsi" w:hAnsiTheme="minorHAnsi" w:cstheme="minorHAnsi"/>
          <w:sz w:val="24"/>
          <w:szCs w:val="24"/>
        </w:rPr>
        <w:t xml:space="preserve"> November at page 150).</w:t>
      </w:r>
      <w:r w:rsidRPr="007501C8">
        <w:rPr>
          <w:rStyle w:val="EndnoteReference"/>
          <w:rFonts w:asciiTheme="minorHAnsi" w:hAnsiTheme="minorHAnsi" w:cstheme="minorHAnsi"/>
          <w:sz w:val="24"/>
          <w:szCs w:val="24"/>
        </w:rPr>
        <w:endnoteReference w:id="48"/>
      </w:r>
    </w:p>
    <w:p w14:paraId="1510C2E9" w14:textId="3645ABA3" w:rsidR="00E024EB" w:rsidRPr="00CC78DA" w:rsidRDefault="00E024EB" w:rsidP="00CC78DA">
      <w:pPr>
        <w:spacing w:line="480" w:lineRule="auto"/>
        <w:ind w:left="454" w:hanging="454"/>
        <w:rPr>
          <w:rFonts w:cstheme="minorHAnsi"/>
          <w:b/>
          <w:bCs/>
          <w:sz w:val="24"/>
          <w:szCs w:val="24"/>
        </w:rPr>
      </w:pPr>
      <w:r w:rsidRPr="00CC78DA">
        <w:rPr>
          <w:rFonts w:cstheme="minorHAnsi"/>
          <w:b/>
          <w:bCs/>
          <w:sz w:val="24"/>
          <w:szCs w:val="24"/>
        </w:rPr>
        <w:t>Closing remarks</w:t>
      </w:r>
    </w:p>
    <w:p w14:paraId="0F974E03" w14:textId="2BCBB425" w:rsidR="001A0655" w:rsidRPr="007501C8" w:rsidRDefault="0038188E" w:rsidP="007501C8">
      <w:pPr>
        <w:pStyle w:val="ListParagraph"/>
        <w:numPr>
          <w:ilvl w:val="0"/>
          <w:numId w:val="6"/>
        </w:numPr>
        <w:spacing w:line="480" w:lineRule="auto"/>
        <w:rPr>
          <w:rFonts w:asciiTheme="minorHAnsi" w:hAnsiTheme="minorHAnsi" w:cstheme="minorHAnsi"/>
          <w:sz w:val="24"/>
          <w:szCs w:val="24"/>
        </w:rPr>
      </w:pPr>
      <w:r>
        <w:rPr>
          <w:rFonts w:asciiTheme="minorHAnsi" w:hAnsiTheme="minorHAnsi" w:cstheme="minorHAnsi"/>
          <w:sz w:val="24"/>
          <w:szCs w:val="24"/>
        </w:rPr>
        <w:t>T</w:t>
      </w:r>
      <w:r w:rsidR="00E024EB" w:rsidRPr="007501C8">
        <w:rPr>
          <w:rFonts w:asciiTheme="minorHAnsi" w:hAnsiTheme="minorHAnsi" w:cstheme="minorHAnsi"/>
          <w:sz w:val="24"/>
          <w:szCs w:val="24"/>
        </w:rPr>
        <w:t xml:space="preserve">he NFSP </w:t>
      </w:r>
      <w:r w:rsidR="00383CA9">
        <w:rPr>
          <w:rFonts w:asciiTheme="minorHAnsi" w:hAnsiTheme="minorHAnsi" w:cstheme="minorHAnsi"/>
          <w:sz w:val="24"/>
          <w:szCs w:val="24"/>
        </w:rPr>
        <w:t>believes that</w:t>
      </w:r>
      <w:r w:rsidR="00E024EB" w:rsidRPr="007501C8">
        <w:rPr>
          <w:rFonts w:asciiTheme="minorHAnsi" w:hAnsiTheme="minorHAnsi" w:cstheme="minorHAnsi"/>
          <w:sz w:val="24"/>
          <w:szCs w:val="24"/>
        </w:rPr>
        <w:t xml:space="preserve"> </w:t>
      </w:r>
      <w:r w:rsidR="001B7834">
        <w:rPr>
          <w:rFonts w:asciiTheme="minorHAnsi" w:hAnsiTheme="minorHAnsi" w:cstheme="minorHAnsi"/>
          <w:sz w:val="24"/>
          <w:szCs w:val="24"/>
        </w:rPr>
        <w:t xml:space="preserve">as a result of the actions and failures of the Post Office in effectively creating the Horizon scandal, </w:t>
      </w:r>
      <w:r w:rsidR="00E024EB" w:rsidRPr="007501C8">
        <w:rPr>
          <w:rFonts w:asciiTheme="minorHAnsi" w:hAnsiTheme="minorHAnsi" w:cstheme="minorHAnsi"/>
          <w:sz w:val="24"/>
          <w:szCs w:val="24"/>
        </w:rPr>
        <w:t>t</w:t>
      </w:r>
      <w:r w:rsidR="001A0655" w:rsidRPr="007501C8">
        <w:rPr>
          <w:rFonts w:asciiTheme="minorHAnsi" w:hAnsiTheme="minorHAnsi" w:cstheme="minorHAnsi"/>
          <w:sz w:val="24"/>
          <w:szCs w:val="24"/>
        </w:rPr>
        <w:t>he Post Office ha</w:t>
      </w:r>
      <w:r w:rsidR="00383CA9">
        <w:rPr>
          <w:rFonts w:asciiTheme="minorHAnsi" w:hAnsiTheme="minorHAnsi" w:cstheme="minorHAnsi"/>
          <w:sz w:val="24"/>
          <w:szCs w:val="24"/>
        </w:rPr>
        <w:t>ve</w:t>
      </w:r>
      <w:r w:rsidR="001A0655" w:rsidRPr="007501C8">
        <w:rPr>
          <w:rFonts w:asciiTheme="minorHAnsi" w:hAnsiTheme="minorHAnsi" w:cstheme="minorHAnsi"/>
          <w:sz w:val="24"/>
          <w:szCs w:val="24"/>
        </w:rPr>
        <w:t xml:space="preserve"> tarnished this</w:t>
      </w:r>
      <w:r>
        <w:rPr>
          <w:rFonts w:asciiTheme="minorHAnsi" w:hAnsiTheme="minorHAnsi" w:cstheme="minorHAnsi"/>
          <w:sz w:val="24"/>
          <w:szCs w:val="24"/>
        </w:rPr>
        <w:t xml:space="preserve"> once </w:t>
      </w:r>
      <w:r w:rsidR="001B7834">
        <w:rPr>
          <w:rFonts w:asciiTheme="minorHAnsi" w:hAnsiTheme="minorHAnsi" w:cstheme="minorHAnsi"/>
          <w:sz w:val="24"/>
          <w:szCs w:val="24"/>
        </w:rPr>
        <w:t xml:space="preserve">most trusted of </w:t>
      </w:r>
      <w:r w:rsidR="001A0655" w:rsidRPr="007501C8">
        <w:rPr>
          <w:rFonts w:asciiTheme="minorHAnsi" w:hAnsiTheme="minorHAnsi" w:cstheme="minorHAnsi"/>
          <w:sz w:val="24"/>
          <w:szCs w:val="24"/>
        </w:rPr>
        <w:t>brand</w:t>
      </w:r>
      <w:r w:rsidR="001B7834">
        <w:rPr>
          <w:rFonts w:asciiTheme="minorHAnsi" w:hAnsiTheme="minorHAnsi" w:cstheme="minorHAnsi"/>
          <w:sz w:val="24"/>
          <w:szCs w:val="24"/>
        </w:rPr>
        <w:t>s. The NFSP is therefore</w:t>
      </w:r>
      <w:r>
        <w:rPr>
          <w:rFonts w:asciiTheme="minorHAnsi" w:hAnsiTheme="minorHAnsi" w:cstheme="minorHAnsi"/>
          <w:sz w:val="24"/>
          <w:szCs w:val="24"/>
        </w:rPr>
        <w:t xml:space="preserve"> concerned about the impact </w:t>
      </w:r>
      <w:r w:rsidR="001B7834">
        <w:rPr>
          <w:rFonts w:asciiTheme="minorHAnsi" w:hAnsiTheme="minorHAnsi" w:cstheme="minorHAnsi"/>
          <w:sz w:val="24"/>
          <w:szCs w:val="24"/>
        </w:rPr>
        <w:t xml:space="preserve">of this </w:t>
      </w:r>
      <w:r>
        <w:rPr>
          <w:rFonts w:asciiTheme="minorHAnsi" w:hAnsiTheme="minorHAnsi" w:cstheme="minorHAnsi"/>
          <w:sz w:val="24"/>
          <w:szCs w:val="24"/>
        </w:rPr>
        <w:t xml:space="preserve">on its members </w:t>
      </w:r>
      <w:r w:rsidRPr="007501C8">
        <w:rPr>
          <w:rFonts w:asciiTheme="minorHAnsi" w:hAnsiTheme="minorHAnsi" w:cstheme="minorHAnsi"/>
          <w:sz w:val="24"/>
          <w:szCs w:val="24"/>
        </w:rPr>
        <w:t xml:space="preserve">and other postmasters </w:t>
      </w:r>
      <w:r>
        <w:rPr>
          <w:rFonts w:asciiTheme="minorHAnsi" w:hAnsiTheme="minorHAnsi" w:cstheme="minorHAnsi"/>
          <w:sz w:val="24"/>
          <w:szCs w:val="24"/>
        </w:rPr>
        <w:t xml:space="preserve">who </w:t>
      </w:r>
      <w:r w:rsidRPr="007501C8">
        <w:rPr>
          <w:rFonts w:asciiTheme="minorHAnsi" w:hAnsiTheme="minorHAnsi" w:cstheme="minorHAnsi"/>
          <w:sz w:val="24"/>
          <w:szCs w:val="24"/>
        </w:rPr>
        <w:t>have invested in this network</w:t>
      </w:r>
      <w:r w:rsidR="00181D05">
        <w:rPr>
          <w:rFonts w:asciiTheme="minorHAnsi" w:hAnsiTheme="minorHAnsi" w:cstheme="minorHAnsi"/>
          <w:sz w:val="24"/>
          <w:szCs w:val="24"/>
        </w:rPr>
        <w:t xml:space="preserve">, </w:t>
      </w:r>
      <w:r>
        <w:rPr>
          <w:rFonts w:asciiTheme="minorHAnsi" w:hAnsiTheme="minorHAnsi" w:cstheme="minorHAnsi"/>
          <w:sz w:val="24"/>
          <w:szCs w:val="24"/>
        </w:rPr>
        <w:t>and</w:t>
      </w:r>
      <w:r w:rsidR="001B7834">
        <w:rPr>
          <w:rFonts w:asciiTheme="minorHAnsi" w:hAnsiTheme="minorHAnsi" w:cstheme="minorHAnsi"/>
          <w:sz w:val="24"/>
          <w:szCs w:val="24"/>
        </w:rPr>
        <w:t xml:space="preserve"> </w:t>
      </w:r>
      <w:r w:rsidR="00181D05">
        <w:rPr>
          <w:rFonts w:asciiTheme="minorHAnsi" w:hAnsiTheme="minorHAnsi" w:cstheme="minorHAnsi"/>
          <w:sz w:val="24"/>
          <w:szCs w:val="24"/>
        </w:rPr>
        <w:t xml:space="preserve">also </w:t>
      </w:r>
      <w:r w:rsidR="001B7834">
        <w:rPr>
          <w:rFonts w:asciiTheme="minorHAnsi" w:hAnsiTheme="minorHAnsi" w:cstheme="minorHAnsi"/>
          <w:sz w:val="24"/>
          <w:szCs w:val="24"/>
        </w:rPr>
        <w:t xml:space="preserve">the relationship which it must have with </w:t>
      </w:r>
      <w:r w:rsidRPr="007501C8">
        <w:rPr>
          <w:rFonts w:asciiTheme="minorHAnsi" w:hAnsiTheme="minorHAnsi" w:cstheme="minorHAnsi"/>
          <w:sz w:val="24"/>
          <w:szCs w:val="24"/>
        </w:rPr>
        <w:t xml:space="preserve">the Post Office to protect their </w:t>
      </w:r>
      <w:r w:rsidR="001B7834">
        <w:rPr>
          <w:rFonts w:asciiTheme="minorHAnsi" w:hAnsiTheme="minorHAnsi" w:cstheme="minorHAnsi"/>
          <w:sz w:val="24"/>
          <w:szCs w:val="24"/>
        </w:rPr>
        <w:t xml:space="preserve">members </w:t>
      </w:r>
      <w:r w:rsidRPr="007501C8">
        <w:rPr>
          <w:rFonts w:asciiTheme="minorHAnsi" w:hAnsiTheme="minorHAnsi" w:cstheme="minorHAnsi"/>
          <w:sz w:val="24"/>
          <w:szCs w:val="24"/>
        </w:rPr>
        <w:t>investment.</w:t>
      </w:r>
      <w:r w:rsidR="00E024EB" w:rsidRPr="007501C8">
        <w:rPr>
          <w:rFonts w:asciiTheme="minorHAnsi" w:hAnsiTheme="minorHAnsi" w:cstheme="minorHAnsi"/>
          <w:sz w:val="24"/>
          <w:szCs w:val="24"/>
        </w:rPr>
        <w:t xml:space="preserve"> The</w:t>
      </w:r>
      <w:r w:rsidR="00383CA9">
        <w:rPr>
          <w:rFonts w:asciiTheme="minorHAnsi" w:hAnsiTheme="minorHAnsi" w:cstheme="minorHAnsi"/>
          <w:sz w:val="24"/>
          <w:szCs w:val="24"/>
        </w:rPr>
        <w:t xml:space="preserve"> NFSP considers the evidence so far </w:t>
      </w:r>
      <w:r w:rsidR="00E024EB" w:rsidRPr="007501C8">
        <w:rPr>
          <w:rFonts w:asciiTheme="minorHAnsi" w:hAnsiTheme="minorHAnsi" w:cstheme="minorHAnsi"/>
          <w:sz w:val="24"/>
          <w:szCs w:val="24"/>
        </w:rPr>
        <w:t>d</w:t>
      </w:r>
      <w:r w:rsidR="00AB170F" w:rsidRPr="007501C8">
        <w:rPr>
          <w:rFonts w:asciiTheme="minorHAnsi" w:hAnsiTheme="minorHAnsi" w:cstheme="minorHAnsi"/>
          <w:sz w:val="24"/>
          <w:szCs w:val="24"/>
        </w:rPr>
        <w:t>emonstrate</w:t>
      </w:r>
      <w:r w:rsidR="00383CA9">
        <w:rPr>
          <w:rFonts w:asciiTheme="minorHAnsi" w:hAnsiTheme="minorHAnsi" w:cstheme="minorHAnsi"/>
          <w:sz w:val="24"/>
          <w:szCs w:val="24"/>
        </w:rPr>
        <w:t>s</w:t>
      </w:r>
      <w:r w:rsidR="00AB170F" w:rsidRPr="007501C8">
        <w:rPr>
          <w:rFonts w:asciiTheme="minorHAnsi" w:hAnsiTheme="minorHAnsi" w:cstheme="minorHAnsi"/>
          <w:sz w:val="24"/>
          <w:szCs w:val="24"/>
        </w:rPr>
        <w:t xml:space="preserve"> a pervading culture of </w:t>
      </w:r>
      <w:r w:rsidR="00383CA9">
        <w:rPr>
          <w:rFonts w:asciiTheme="minorHAnsi" w:hAnsiTheme="minorHAnsi" w:cstheme="minorHAnsi"/>
          <w:sz w:val="24"/>
          <w:szCs w:val="24"/>
        </w:rPr>
        <w:t xml:space="preserve">cover up, </w:t>
      </w:r>
      <w:r w:rsidR="00AB170F" w:rsidRPr="007501C8">
        <w:rPr>
          <w:rFonts w:asciiTheme="minorHAnsi" w:hAnsiTheme="minorHAnsi" w:cstheme="minorHAnsi"/>
          <w:sz w:val="24"/>
          <w:szCs w:val="24"/>
        </w:rPr>
        <w:t>incompetence,</w:t>
      </w:r>
      <w:r w:rsidR="00E024EB" w:rsidRPr="007501C8">
        <w:rPr>
          <w:rFonts w:asciiTheme="minorHAnsi" w:hAnsiTheme="minorHAnsi" w:cstheme="minorHAnsi"/>
          <w:sz w:val="24"/>
          <w:szCs w:val="24"/>
        </w:rPr>
        <w:t xml:space="preserve"> </w:t>
      </w:r>
      <w:r w:rsidR="0098608D">
        <w:rPr>
          <w:rFonts w:asciiTheme="minorHAnsi" w:hAnsiTheme="minorHAnsi" w:cstheme="minorHAnsi"/>
          <w:sz w:val="24"/>
          <w:szCs w:val="24"/>
        </w:rPr>
        <w:t>knowingly doing wrong in relation to prosecutions</w:t>
      </w:r>
      <w:r w:rsidR="00383CA9">
        <w:rPr>
          <w:rFonts w:asciiTheme="minorHAnsi" w:hAnsiTheme="minorHAnsi" w:cstheme="minorHAnsi"/>
          <w:sz w:val="24"/>
          <w:szCs w:val="24"/>
        </w:rPr>
        <w:t xml:space="preserve"> </w:t>
      </w:r>
      <w:r w:rsidR="00E024EB" w:rsidRPr="007501C8">
        <w:rPr>
          <w:rFonts w:asciiTheme="minorHAnsi" w:hAnsiTheme="minorHAnsi" w:cstheme="minorHAnsi"/>
          <w:sz w:val="24"/>
          <w:szCs w:val="24"/>
        </w:rPr>
        <w:t>and</w:t>
      </w:r>
      <w:r w:rsidR="00AB170F" w:rsidRPr="007501C8">
        <w:rPr>
          <w:rFonts w:asciiTheme="minorHAnsi" w:hAnsiTheme="minorHAnsi" w:cstheme="minorHAnsi"/>
          <w:sz w:val="24"/>
          <w:szCs w:val="24"/>
        </w:rPr>
        <w:t xml:space="preserve"> </w:t>
      </w:r>
      <w:r w:rsidR="00383CA9">
        <w:rPr>
          <w:rFonts w:asciiTheme="minorHAnsi" w:hAnsiTheme="minorHAnsi" w:cstheme="minorHAnsi"/>
          <w:sz w:val="24"/>
          <w:szCs w:val="24"/>
        </w:rPr>
        <w:t xml:space="preserve">an entrenchment of </w:t>
      </w:r>
      <w:r w:rsidR="00AB170F" w:rsidRPr="007501C8">
        <w:rPr>
          <w:rFonts w:asciiTheme="minorHAnsi" w:hAnsiTheme="minorHAnsi" w:cstheme="minorHAnsi"/>
          <w:sz w:val="24"/>
          <w:szCs w:val="24"/>
        </w:rPr>
        <w:t xml:space="preserve">placing </w:t>
      </w:r>
      <w:r w:rsidR="00E024EB" w:rsidRPr="007501C8">
        <w:rPr>
          <w:rFonts w:asciiTheme="minorHAnsi" w:hAnsiTheme="minorHAnsi" w:cstheme="minorHAnsi"/>
          <w:sz w:val="24"/>
          <w:szCs w:val="24"/>
        </w:rPr>
        <w:t>corporate</w:t>
      </w:r>
      <w:r w:rsidR="00AB170F" w:rsidRPr="007501C8">
        <w:rPr>
          <w:rFonts w:asciiTheme="minorHAnsi" w:hAnsiTheme="minorHAnsi" w:cstheme="minorHAnsi"/>
          <w:sz w:val="24"/>
          <w:szCs w:val="24"/>
        </w:rPr>
        <w:t xml:space="preserve"> </w:t>
      </w:r>
      <w:r w:rsidR="00E024EB" w:rsidRPr="007501C8">
        <w:rPr>
          <w:rFonts w:asciiTheme="minorHAnsi" w:hAnsiTheme="minorHAnsi" w:cstheme="minorHAnsi"/>
          <w:sz w:val="24"/>
          <w:szCs w:val="24"/>
        </w:rPr>
        <w:t>considerations</w:t>
      </w:r>
      <w:r w:rsidR="00AB170F" w:rsidRPr="007501C8">
        <w:rPr>
          <w:rFonts w:asciiTheme="minorHAnsi" w:hAnsiTheme="minorHAnsi" w:cstheme="minorHAnsi"/>
          <w:sz w:val="24"/>
          <w:szCs w:val="24"/>
        </w:rPr>
        <w:t xml:space="preserve"> above </w:t>
      </w:r>
      <w:r w:rsidR="00383CA9">
        <w:rPr>
          <w:rFonts w:asciiTheme="minorHAnsi" w:hAnsiTheme="minorHAnsi" w:cstheme="minorHAnsi"/>
          <w:sz w:val="24"/>
          <w:szCs w:val="24"/>
        </w:rPr>
        <w:t xml:space="preserve">both </w:t>
      </w:r>
      <w:r w:rsidR="00AB170F" w:rsidRPr="007501C8">
        <w:rPr>
          <w:rFonts w:asciiTheme="minorHAnsi" w:hAnsiTheme="minorHAnsi" w:cstheme="minorHAnsi"/>
          <w:sz w:val="24"/>
          <w:szCs w:val="24"/>
        </w:rPr>
        <w:t>legal obligation</w:t>
      </w:r>
      <w:r w:rsidR="00383CA9">
        <w:rPr>
          <w:rFonts w:asciiTheme="minorHAnsi" w:hAnsiTheme="minorHAnsi" w:cstheme="minorHAnsi"/>
          <w:sz w:val="24"/>
          <w:szCs w:val="24"/>
        </w:rPr>
        <w:t>s</w:t>
      </w:r>
      <w:r w:rsidR="00AB170F" w:rsidRPr="007501C8">
        <w:rPr>
          <w:rFonts w:asciiTheme="minorHAnsi" w:hAnsiTheme="minorHAnsi" w:cstheme="minorHAnsi"/>
          <w:sz w:val="24"/>
          <w:szCs w:val="24"/>
        </w:rPr>
        <w:t xml:space="preserve"> and human decency. </w:t>
      </w:r>
    </w:p>
    <w:p w14:paraId="7EB4B26F" w14:textId="6D113BCF" w:rsidR="00BE00D3" w:rsidRDefault="00BE00D3" w:rsidP="007501C8">
      <w:pPr>
        <w:pStyle w:val="ListParagraph"/>
        <w:numPr>
          <w:ilvl w:val="0"/>
          <w:numId w:val="6"/>
        </w:numPr>
        <w:spacing w:line="480" w:lineRule="auto"/>
        <w:rPr>
          <w:rFonts w:asciiTheme="minorHAnsi" w:hAnsiTheme="minorHAnsi" w:cstheme="minorHAnsi"/>
          <w:sz w:val="24"/>
          <w:szCs w:val="24"/>
        </w:rPr>
      </w:pPr>
      <w:r w:rsidRPr="007501C8">
        <w:rPr>
          <w:rFonts w:asciiTheme="minorHAnsi" w:hAnsiTheme="minorHAnsi" w:cstheme="minorHAnsi"/>
          <w:sz w:val="24"/>
          <w:szCs w:val="24"/>
        </w:rPr>
        <w:t>The NFSP is concerned about how postmasters, their assistants and staff, Crown Office employees and their respective representative bodies are</w:t>
      </w:r>
      <w:r w:rsidR="00A32AD3">
        <w:rPr>
          <w:rFonts w:asciiTheme="minorHAnsi" w:hAnsiTheme="minorHAnsi" w:cstheme="minorHAnsi"/>
          <w:sz w:val="24"/>
          <w:szCs w:val="24"/>
        </w:rPr>
        <w:t xml:space="preserve"> meant</w:t>
      </w:r>
      <w:r w:rsidRPr="007501C8">
        <w:rPr>
          <w:rFonts w:asciiTheme="minorHAnsi" w:hAnsiTheme="minorHAnsi" w:cstheme="minorHAnsi"/>
          <w:sz w:val="24"/>
          <w:szCs w:val="24"/>
        </w:rPr>
        <w:t xml:space="preserve"> to have trust in their ongoing relationship with </w:t>
      </w:r>
      <w:r w:rsidR="00A32AD3">
        <w:rPr>
          <w:rFonts w:asciiTheme="minorHAnsi" w:hAnsiTheme="minorHAnsi" w:cstheme="minorHAnsi"/>
          <w:sz w:val="24"/>
          <w:szCs w:val="24"/>
        </w:rPr>
        <w:t>a huge and powerful</w:t>
      </w:r>
      <w:r w:rsidRPr="007501C8">
        <w:rPr>
          <w:rFonts w:asciiTheme="minorHAnsi" w:hAnsiTheme="minorHAnsi" w:cstheme="minorHAnsi"/>
          <w:sz w:val="24"/>
          <w:szCs w:val="24"/>
        </w:rPr>
        <w:t xml:space="preserve"> organisation, which has not</w:t>
      </w:r>
      <w:r w:rsidR="00181D05">
        <w:rPr>
          <w:rFonts w:asciiTheme="minorHAnsi" w:hAnsiTheme="minorHAnsi" w:cstheme="minorHAnsi"/>
          <w:sz w:val="24"/>
          <w:szCs w:val="24"/>
        </w:rPr>
        <w:t xml:space="preserve"> so far</w:t>
      </w:r>
      <w:r w:rsidR="00A32AD3">
        <w:rPr>
          <w:rFonts w:asciiTheme="minorHAnsi" w:hAnsiTheme="minorHAnsi" w:cstheme="minorHAnsi"/>
          <w:sz w:val="24"/>
          <w:szCs w:val="24"/>
        </w:rPr>
        <w:t xml:space="preserve">, on the </w:t>
      </w:r>
      <w:r w:rsidR="00A32AD3">
        <w:rPr>
          <w:rFonts w:asciiTheme="minorHAnsi" w:hAnsiTheme="minorHAnsi" w:cstheme="minorHAnsi"/>
          <w:sz w:val="24"/>
          <w:szCs w:val="24"/>
        </w:rPr>
        <w:lastRenderedPageBreak/>
        <w:t>evidence,</w:t>
      </w:r>
      <w:r w:rsidRPr="007501C8">
        <w:rPr>
          <w:rFonts w:asciiTheme="minorHAnsi" w:hAnsiTheme="minorHAnsi" w:cstheme="minorHAnsi"/>
          <w:sz w:val="24"/>
          <w:szCs w:val="24"/>
        </w:rPr>
        <w:t xml:space="preserve"> demonstrated the fundamental cultural and moral change </w:t>
      </w:r>
      <w:r w:rsidR="00A32AD3">
        <w:rPr>
          <w:rFonts w:asciiTheme="minorHAnsi" w:hAnsiTheme="minorHAnsi" w:cstheme="minorHAnsi"/>
          <w:sz w:val="24"/>
          <w:szCs w:val="24"/>
        </w:rPr>
        <w:t xml:space="preserve">which is necessary as a result of the </w:t>
      </w:r>
      <w:r w:rsidRPr="007501C8">
        <w:rPr>
          <w:rFonts w:asciiTheme="minorHAnsi" w:hAnsiTheme="minorHAnsi" w:cstheme="minorHAnsi"/>
          <w:sz w:val="24"/>
          <w:szCs w:val="24"/>
        </w:rPr>
        <w:t>miscarriage</w:t>
      </w:r>
      <w:r w:rsidR="00181D05">
        <w:rPr>
          <w:rFonts w:asciiTheme="minorHAnsi" w:hAnsiTheme="minorHAnsi" w:cstheme="minorHAnsi"/>
          <w:sz w:val="24"/>
          <w:szCs w:val="24"/>
        </w:rPr>
        <w:t>s</w:t>
      </w:r>
      <w:r w:rsidRPr="007501C8">
        <w:rPr>
          <w:rFonts w:asciiTheme="minorHAnsi" w:hAnsiTheme="minorHAnsi" w:cstheme="minorHAnsi"/>
          <w:sz w:val="24"/>
          <w:szCs w:val="24"/>
        </w:rPr>
        <w:t xml:space="preserve"> of justice.</w:t>
      </w:r>
      <w:r w:rsidR="00181D05">
        <w:rPr>
          <w:rFonts w:asciiTheme="minorHAnsi" w:hAnsiTheme="minorHAnsi" w:cstheme="minorHAnsi"/>
          <w:sz w:val="24"/>
          <w:szCs w:val="24"/>
        </w:rPr>
        <w:t xml:space="preserve"> In that regard, t</w:t>
      </w:r>
      <w:r w:rsidRPr="007501C8">
        <w:rPr>
          <w:rFonts w:asciiTheme="minorHAnsi" w:hAnsiTheme="minorHAnsi" w:cstheme="minorHAnsi"/>
          <w:sz w:val="24"/>
          <w:szCs w:val="24"/>
        </w:rPr>
        <w:t xml:space="preserve">he NFSP looks forward to the Inquiry’s recommendations for the future in Phase 7. </w:t>
      </w:r>
    </w:p>
    <w:p w14:paraId="3C6AF9EB" w14:textId="77777777" w:rsidR="0098608D" w:rsidRDefault="0098608D" w:rsidP="00A32AD3">
      <w:pPr>
        <w:spacing w:line="480" w:lineRule="auto"/>
        <w:rPr>
          <w:rFonts w:cstheme="minorHAnsi"/>
          <w:b/>
          <w:bCs/>
          <w:sz w:val="24"/>
          <w:szCs w:val="24"/>
          <w:lang w:val="en-US"/>
        </w:rPr>
      </w:pPr>
    </w:p>
    <w:p w14:paraId="4A43E4A4" w14:textId="40CABABF" w:rsidR="00502B58" w:rsidRPr="00A32AD3" w:rsidRDefault="00502B58" w:rsidP="00A32AD3">
      <w:pPr>
        <w:spacing w:line="480" w:lineRule="auto"/>
        <w:rPr>
          <w:rFonts w:cstheme="minorHAnsi"/>
          <w:b/>
          <w:bCs/>
          <w:sz w:val="24"/>
          <w:szCs w:val="24"/>
          <w:lang w:val="en-US"/>
        </w:rPr>
      </w:pPr>
      <w:r w:rsidRPr="00A32AD3">
        <w:rPr>
          <w:rFonts w:cstheme="minorHAnsi"/>
          <w:b/>
          <w:bCs/>
          <w:sz w:val="24"/>
          <w:szCs w:val="24"/>
          <w:lang w:val="en-US"/>
        </w:rPr>
        <w:t xml:space="preserve">National Federation of Sub-postmasters </w:t>
      </w:r>
    </w:p>
    <w:p w14:paraId="29A74218" w14:textId="77777777" w:rsidR="00502B58" w:rsidRPr="007501C8" w:rsidRDefault="00502B58" w:rsidP="007501C8">
      <w:pPr>
        <w:spacing w:line="480" w:lineRule="auto"/>
        <w:rPr>
          <w:rFonts w:cstheme="minorHAnsi"/>
          <w:b/>
          <w:bCs/>
          <w:sz w:val="24"/>
          <w:szCs w:val="24"/>
          <w:lang w:val="en-US"/>
        </w:rPr>
      </w:pPr>
      <w:r w:rsidRPr="007501C8">
        <w:rPr>
          <w:rFonts w:cstheme="minorHAnsi"/>
          <w:b/>
          <w:bCs/>
          <w:sz w:val="24"/>
          <w:szCs w:val="24"/>
          <w:lang w:val="en-US"/>
        </w:rPr>
        <w:t>22 Windlesham Gardens</w:t>
      </w:r>
    </w:p>
    <w:p w14:paraId="742AFB98" w14:textId="04E39714" w:rsidR="00AC1104" w:rsidRDefault="00502B58" w:rsidP="007501C8">
      <w:pPr>
        <w:spacing w:line="480" w:lineRule="auto"/>
        <w:rPr>
          <w:rFonts w:cstheme="minorHAnsi"/>
          <w:sz w:val="24"/>
          <w:szCs w:val="24"/>
        </w:rPr>
      </w:pPr>
      <w:r w:rsidRPr="007501C8">
        <w:rPr>
          <w:rFonts w:cstheme="minorHAnsi"/>
          <w:b/>
          <w:bCs/>
          <w:sz w:val="24"/>
          <w:szCs w:val="24"/>
          <w:lang w:val="en-US"/>
        </w:rPr>
        <w:t>Shoreham-on-Sea, BN43 5AZ</w:t>
      </w:r>
      <w:r w:rsidR="00AC1104" w:rsidRPr="007501C8">
        <w:rPr>
          <w:rFonts w:cstheme="minorHAnsi"/>
          <w:sz w:val="24"/>
          <w:szCs w:val="24"/>
        </w:rPr>
        <w:t xml:space="preserve"> </w:t>
      </w:r>
    </w:p>
    <w:p w14:paraId="7C1A3FA6" w14:textId="4C74071D" w:rsidR="002750E5" w:rsidRPr="002750E5" w:rsidRDefault="002750E5" w:rsidP="007501C8">
      <w:pPr>
        <w:spacing w:line="480" w:lineRule="auto"/>
        <w:rPr>
          <w:rFonts w:cstheme="minorHAnsi"/>
          <w:b/>
          <w:bCs/>
          <w:sz w:val="24"/>
          <w:szCs w:val="24"/>
          <w:lang w:val="en-US"/>
        </w:rPr>
      </w:pPr>
      <w:r w:rsidRPr="002750E5">
        <w:rPr>
          <w:rFonts w:cstheme="minorHAnsi"/>
          <w:b/>
          <w:bCs/>
          <w:sz w:val="24"/>
          <w:szCs w:val="24"/>
        </w:rPr>
        <w:t>2</w:t>
      </w:r>
      <w:r w:rsidRPr="002750E5">
        <w:rPr>
          <w:rFonts w:cstheme="minorHAnsi"/>
          <w:b/>
          <w:bCs/>
          <w:sz w:val="24"/>
          <w:szCs w:val="24"/>
          <w:vertAlign w:val="superscript"/>
        </w:rPr>
        <w:t>nd</w:t>
      </w:r>
      <w:r w:rsidRPr="002750E5">
        <w:rPr>
          <w:rFonts w:cstheme="minorHAnsi"/>
          <w:b/>
          <w:bCs/>
          <w:sz w:val="24"/>
          <w:szCs w:val="24"/>
        </w:rPr>
        <w:t xml:space="preserve"> February 2024</w:t>
      </w:r>
    </w:p>
    <w:sectPr w:rsidR="002750E5" w:rsidRPr="002750E5" w:rsidSect="00DF37EB">
      <w:footerReference w:type="default" r:id="rId9"/>
      <w:headerReference w:type="first" r:id="rId10"/>
      <w:pgSz w:w="11906" w:h="16838" w:code="9"/>
      <w:pgMar w:top="1440"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AE2C" w14:textId="77777777" w:rsidR="00DF37EB" w:rsidRDefault="00DF37EB" w:rsidP="00E10476">
      <w:r>
        <w:separator/>
      </w:r>
    </w:p>
  </w:endnote>
  <w:endnote w:type="continuationSeparator" w:id="0">
    <w:p w14:paraId="7DE085F1" w14:textId="77777777" w:rsidR="00DF37EB" w:rsidRDefault="00DF37EB" w:rsidP="00E10476">
      <w:r>
        <w:continuationSeparator/>
      </w:r>
    </w:p>
  </w:endnote>
  <w:endnote w:id="1">
    <w:p w14:paraId="1CD85EDE" w14:textId="64F71578" w:rsidR="007C1D78" w:rsidRDefault="007C1D78">
      <w:pPr>
        <w:pStyle w:val="EndnoteText"/>
      </w:pPr>
      <w:r>
        <w:rPr>
          <w:rStyle w:val="EndnoteReference"/>
        </w:rPr>
        <w:endnoteRef/>
      </w:r>
      <w:r>
        <w:t xml:space="preserve"> Stephen Bradshaw, 11 January 2024, p50 and 60-64, Tony Mar</w:t>
      </w:r>
      <w:r w:rsidR="002750E5">
        <w:t>s</w:t>
      </w:r>
      <w:r>
        <w:t>h, 5 July 2023 p112</w:t>
      </w:r>
    </w:p>
  </w:endnote>
  <w:endnote w:id="2">
    <w:p w14:paraId="7E58F2D4" w14:textId="7C433566" w:rsidR="007C1D78" w:rsidRDefault="007C1D78">
      <w:pPr>
        <w:pStyle w:val="EndnoteText"/>
      </w:pPr>
      <w:r>
        <w:rPr>
          <w:rStyle w:val="EndnoteReference"/>
        </w:rPr>
        <w:endnoteRef/>
      </w:r>
      <w:r>
        <w:t xml:space="preserve"> Rob Wilson, 12 October 2023, pp 25 and 98 - 104</w:t>
      </w:r>
    </w:p>
  </w:endnote>
  <w:endnote w:id="3">
    <w:p w14:paraId="1558DADD" w14:textId="0A260031" w:rsidR="007C1D78" w:rsidRDefault="007C1D78">
      <w:pPr>
        <w:pStyle w:val="EndnoteText"/>
      </w:pPr>
      <w:r>
        <w:rPr>
          <w:rStyle w:val="EndnoteReference"/>
        </w:rPr>
        <w:endnoteRef/>
      </w:r>
      <w:r>
        <w:t xml:space="preserve"> Andrew </w:t>
      </w:r>
      <w:proofErr w:type="spellStart"/>
      <w:r>
        <w:t>Bolc</w:t>
      </w:r>
      <w:proofErr w:type="spellEnd"/>
      <w:r>
        <w:t>, 15 December 2023, pp86 and 115</w:t>
      </w:r>
    </w:p>
  </w:endnote>
  <w:endnote w:id="4">
    <w:p w14:paraId="74831935" w14:textId="77777777" w:rsidR="007C1D78" w:rsidRDefault="007C1D78" w:rsidP="009A1471">
      <w:pPr>
        <w:pStyle w:val="EndnoteText"/>
      </w:pPr>
      <w:r>
        <w:rPr>
          <w:rStyle w:val="EndnoteReference"/>
        </w:rPr>
        <w:endnoteRef/>
      </w:r>
      <w:r>
        <w:t xml:space="preserve">  Tony Marsh, 5 July 2023, pp 100 – 112; Guide to the Preparation and Layout of Investigation Red Label Case Files dates 7 March 2013, </w:t>
      </w:r>
      <w:r w:rsidRPr="00F95154">
        <w:t>POL00038452</w:t>
      </w:r>
      <w:r>
        <w:t xml:space="preserve"> at p13; and Graham Brander, 28 November 2023 pp 21-22</w:t>
      </w:r>
    </w:p>
  </w:endnote>
  <w:endnote w:id="5">
    <w:p w14:paraId="108CDF2E" w14:textId="1FFAC27D" w:rsidR="007C1D78" w:rsidRDefault="007C1D78" w:rsidP="008629EC">
      <w:pPr>
        <w:pStyle w:val="EndnoteText"/>
      </w:pPr>
      <w:r>
        <w:rPr>
          <w:rStyle w:val="EndnoteReference"/>
        </w:rPr>
        <w:endnoteRef/>
      </w:r>
      <w:r>
        <w:t xml:space="preserve"> </w:t>
      </w:r>
      <w:r w:rsidRPr="006F4BC6">
        <w:t>Natasha Bernard</w:t>
      </w:r>
      <w:r>
        <w:t xml:space="preserve">, 10 November 2023, p38; Debbie Stapel, 14 November 2023 p19, Tony Utting, 17 November 2023, p96, Mike Wilcox, 7 December 2023, pp54 – 55, </w:t>
      </w:r>
    </w:p>
  </w:endnote>
  <w:endnote w:id="6">
    <w:p w14:paraId="4EC60D9C" w14:textId="77A5771D" w:rsidR="007C1D78" w:rsidRPr="0017399B" w:rsidRDefault="007C1D78">
      <w:pPr>
        <w:pStyle w:val="EndnoteText"/>
      </w:pPr>
      <w:r>
        <w:rPr>
          <w:rStyle w:val="EndnoteReference"/>
        </w:rPr>
        <w:endnoteRef/>
      </w:r>
      <w:r>
        <w:t xml:space="preserve"> Email from Jarnail Singh to Mandy Talbot and others </w:t>
      </w:r>
      <w:r w:rsidRPr="00D670CD">
        <w:rPr>
          <w:rFonts w:cstheme="minorHAnsi"/>
        </w:rPr>
        <w:t xml:space="preserve">regarding Seema </w:t>
      </w:r>
      <w:r w:rsidRPr="00D670CD">
        <w:rPr>
          <w:rFonts w:cstheme="minorHAnsi"/>
          <w:szCs w:val="18"/>
        </w:rPr>
        <w:t>Misra case, dated 21 October 2010, POL00093686 at p5</w:t>
      </w:r>
      <w:r>
        <w:rPr>
          <w:rFonts w:cstheme="minorHAnsi"/>
          <w:szCs w:val="18"/>
        </w:rPr>
        <w:t>; Email from Stephen Dilley to Mandy Talbot re Lee Castleton dated 5 May 2009, P</w:t>
      </w:r>
      <w:r w:rsidRPr="0042286E">
        <w:rPr>
          <w:rFonts w:cstheme="minorHAnsi"/>
          <w:szCs w:val="18"/>
        </w:rPr>
        <w:t>OL00070237</w:t>
      </w:r>
      <w:r>
        <w:rPr>
          <w:rFonts w:cstheme="minorHAnsi"/>
          <w:szCs w:val="18"/>
        </w:rPr>
        <w:t xml:space="preserve">; </w:t>
      </w:r>
      <w:r w:rsidRPr="000768D6">
        <w:rPr>
          <w:rFonts w:cstheme="minorHAnsi"/>
          <w:szCs w:val="18"/>
        </w:rPr>
        <w:t>Email from Jarnail Singh to David Oliver C</w:t>
      </w:r>
      <w:r>
        <w:rPr>
          <w:rFonts w:cstheme="minorHAnsi"/>
          <w:szCs w:val="18"/>
        </w:rPr>
        <w:t xml:space="preserve"> re</w:t>
      </w:r>
      <w:r w:rsidRPr="000768D6">
        <w:rPr>
          <w:rFonts w:cstheme="minorHAnsi"/>
          <w:szCs w:val="18"/>
        </w:rPr>
        <w:t xml:space="preserve"> Enquiry re: current prosecution</w:t>
      </w:r>
      <w:r>
        <w:rPr>
          <w:rFonts w:cstheme="minorHAnsi"/>
          <w:szCs w:val="18"/>
        </w:rPr>
        <w:t xml:space="preserve">, </w:t>
      </w:r>
      <w:r w:rsidRPr="000768D6">
        <w:rPr>
          <w:rFonts w:cstheme="minorHAnsi"/>
          <w:szCs w:val="18"/>
        </w:rPr>
        <w:t>POL00141653</w:t>
      </w:r>
      <w:r>
        <w:rPr>
          <w:rFonts w:cstheme="minorHAnsi"/>
          <w:szCs w:val="18"/>
        </w:rPr>
        <w:t xml:space="preserve"> at p2, Helen Rose Report, dated 30 August 2012,</w:t>
      </w:r>
      <w:r w:rsidRPr="0017399B">
        <w:t xml:space="preserve"> </w:t>
      </w:r>
      <w:r w:rsidRPr="0017399B">
        <w:rPr>
          <w:rFonts w:cstheme="minorHAnsi"/>
          <w:szCs w:val="18"/>
        </w:rPr>
        <w:t>FUJ00156648</w:t>
      </w:r>
      <w:r>
        <w:rPr>
          <w:rFonts w:cstheme="minorHAnsi"/>
          <w:szCs w:val="18"/>
        </w:rPr>
        <w:t xml:space="preserve"> at p5 Email from Mandy Talbot to Marie </w:t>
      </w:r>
      <w:proofErr w:type="spellStart"/>
      <w:r>
        <w:rPr>
          <w:rFonts w:cstheme="minorHAnsi"/>
          <w:szCs w:val="18"/>
        </w:rPr>
        <w:t>Cockette</w:t>
      </w:r>
      <w:proofErr w:type="spellEnd"/>
      <w:r>
        <w:rPr>
          <w:rFonts w:cstheme="minorHAnsi"/>
          <w:szCs w:val="18"/>
        </w:rPr>
        <w:t xml:space="preserve"> and others re Castleton – Marine Drive, dated 9 November 2006, </w:t>
      </w:r>
      <w:r w:rsidRPr="009D15BF">
        <w:rPr>
          <w:rFonts w:cstheme="minorHAnsi"/>
          <w:szCs w:val="18"/>
        </w:rPr>
        <w:t xml:space="preserve">POL00113909 </w:t>
      </w:r>
      <w:r>
        <w:rPr>
          <w:rFonts w:cstheme="minorHAnsi"/>
          <w:szCs w:val="18"/>
        </w:rPr>
        <w:t xml:space="preserve">at </w:t>
      </w:r>
      <w:r w:rsidRPr="009D15BF">
        <w:rPr>
          <w:rFonts w:cstheme="minorHAnsi"/>
          <w:szCs w:val="18"/>
        </w:rPr>
        <w:t>p5</w:t>
      </w:r>
    </w:p>
  </w:endnote>
  <w:endnote w:id="7">
    <w:p w14:paraId="4D06CAE7" w14:textId="75DF7284" w:rsidR="007C1D78" w:rsidRDefault="007C1D78">
      <w:pPr>
        <w:pStyle w:val="EndnoteText"/>
      </w:pPr>
      <w:r w:rsidRPr="009D15BF">
        <w:rPr>
          <w:rStyle w:val="EndnoteReference"/>
        </w:rPr>
        <w:endnoteRef/>
      </w:r>
      <w:r w:rsidRPr="009D15BF">
        <w:t xml:space="preserve"> </w:t>
      </w:r>
      <w:r>
        <w:t>E.g. Helen Rose’s Report on Lepton SPSO, associated communication and related establishment of the underground escalation point; Rob Wilson’s stance on an independent investigation despite personal knowledge of an error with financial impact; and Jarnail Singh’s provision of false information to the Post Office’s Public Affairs Manager despite knowledge of issues regarding Gareth Jenkins being discredited and Post Office breaching disclosure obligations (all discussed below)</w:t>
      </w:r>
    </w:p>
  </w:endnote>
  <w:endnote w:id="8">
    <w:p w14:paraId="6ADF05A1" w14:textId="4FAE0462" w:rsidR="007C1D78" w:rsidRDefault="007C1D78" w:rsidP="000768D6">
      <w:pPr>
        <w:pStyle w:val="EndnoteText"/>
      </w:pPr>
      <w:r>
        <w:rPr>
          <w:rStyle w:val="EndnoteReference"/>
        </w:rPr>
        <w:endnoteRef/>
      </w:r>
      <w:r>
        <w:t xml:space="preserve"> Advice by Richard Morgan following POL v Lee Castleton dated 22 January 2007, </w:t>
      </w:r>
      <w:r w:rsidRPr="0042286E">
        <w:t>WBON0000023</w:t>
      </w:r>
      <w:r>
        <w:t xml:space="preserve"> at p2; </w:t>
      </w:r>
      <w:r w:rsidRPr="000768D6">
        <w:t xml:space="preserve">Post Office Ltd: Liability for Losses Policy for agency branches </w:t>
      </w:r>
      <w:r>
        <w:t xml:space="preserve">dated </w:t>
      </w:r>
      <w:r w:rsidRPr="000768D6">
        <w:t>January 200</w:t>
      </w:r>
      <w:r>
        <w:t>4, POL00088867 at p8</w:t>
      </w:r>
    </w:p>
  </w:endnote>
  <w:endnote w:id="9">
    <w:p w14:paraId="325FFEF7" w14:textId="4F9FB4A9" w:rsidR="007C1D78" w:rsidRDefault="007C1D78">
      <w:pPr>
        <w:pStyle w:val="EndnoteText"/>
      </w:pPr>
      <w:r w:rsidRPr="009D15BF">
        <w:rPr>
          <w:rStyle w:val="EndnoteReference"/>
        </w:rPr>
        <w:endnoteRef/>
      </w:r>
      <w:r w:rsidRPr="009D15BF">
        <w:t xml:space="preserve"> </w:t>
      </w:r>
      <w:r>
        <w:t>E.g. John Breeden, 17 October 2023 at pp47-48; and Alan Lusher, 18 October 2023 p77</w:t>
      </w:r>
    </w:p>
  </w:endnote>
  <w:endnote w:id="10">
    <w:p w14:paraId="29D78AF9" w14:textId="01F302AB" w:rsidR="007C1D78" w:rsidRDefault="007C1D78">
      <w:pPr>
        <w:pStyle w:val="EndnoteText"/>
      </w:pPr>
      <w:r>
        <w:rPr>
          <w:rStyle w:val="EndnoteReference"/>
        </w:rPr>
        <w:endnoteRef/>
      </w:r>
      <w:r>
        <w:t xml:space="preserve"> Elaine Cottam, 7 November 2023, pp36 – 37</w:t>
      </w:r>
    </w:p>
  </w:endnote>
  <w:endnote w:id="11">
    <w:p w14:paraId="5B2F13EF" w14:textId="0E559675" w:rsidR="007C1D78" w:rsidRDefault="007C1D78" w:rsidP="004F1E8A">
      <w:pPr>
        <w:pStyle w:val="EndnoteText"/>
      </w:pPr>
      <w:r w:rsidRPr="00F71166">
        <w:rPr>
          <w:rStyle w:val="EndnoteReference"/>
        </w:rPr>
        <w:endnoteRef/>
      </w:r>
      <w:r w:rsidRPr="00F71166">
        <w:t xml:space="preserve"> Helen Rose</w:t>
      </w:r>
      <w:r>
        <w:t>, 19 September 2023, p50</w:t>
      </w:r>
    </w:p>
  </w:endnote>
  <w:endnote w:id="12">
    <w:p w14:paraId="4627B70E" w14:textId="776C825D" w:rsidR="007C1D78" w:rsidRDefault="007C1D78">
      <w:pPr>
        <w:pStyle w:val="EndnoteText"/>
      </w:pPr>
      <w:r>
        <w:rPr>
          <w:rStyle w:val="EndnoteReference"/>
        </w:rPr>
        <w:endnoteRef/>
      </w:r>
      <w:r>
        <w:t xml:space="preserve"> Email from Andrew </w:t>
      </w:r>
      <w:proofErr w:type="spellStart"/>
      <w:r>
        <w:t>Bolc</w:t>
      </w:r>
      <w:proofErr w:type="spellEnd"/>
      <w:r>
        <w:t xml:space="preserve"> to Gareth Jenkins re Sefton &amp; Neild, dated 3 December 2012 at page 2, </w:t>
      </w:r>
      <w:r w:rsidRPr="003B10C2">
        <w:t>POL00089394</w:t>
      </w:r>
    </w:p>
  </w:endnote>
  <w:endnote w:id="13">
    <w:p w14:paraId="5D96CE04" w14:textId="41D5115D" w:rsidR="007C1D78" w:rsidRDefault="007C1D78">
      <w:pPr>
        <w:pStyle w:val="EndnoteText"/>
      </w:pPr>
      <w:r>
        <w:rPr>
          <w:rStyle w:val="EndnoteReference"/>
        </w:rPr>
        <w:endnoteRef/>
      </w:r>
      <w:r>
        <w:t xml:space="preserve"> Robert Daily, 23 January 2024, pp58-62</w:t>
      </w:r>
    </w:p>
  </w:endnote>
  <w:endnote w:id="14">
    <w:p w14:paraId="26306FF8" w14:textId="27C2935C" w:rsidR="007C1D78" w:rsidRDefault="007C1D78">
      <w:pPr>
        <w:pStyle w:val="EndnoteText"/>
      </w:pPr>
      <w:r>
        <w:rPr>
          <w:rStyle w:val="EndnoteReference"/>
        </w:rPr>
        <w:endnoteRef/>
      </w:r>
      <w:r>
        <w:t xml:space="preserve"> Robert Daily, 23 Janaurypp71</w:t>
      </w:r>
    </w:p>
  </w:endnote>
  <w:endnote w:id="15">
    <w:p w14:paraId="6A339325" w14:textId="77777777" w:rsidR="007C1D78" w:rsidRDefault="007C1D78" w:rsidP="008D1C12">
      <w:pPr>
        <w:pStyle w:val="EndnoteText"/>
      </w:pPr>
      <w:r>
        <w:rPr>
          <w:rStyle w:val="EndnoteReference"/>
        </w:rPr>
        <w:endnoteRef/>
      </w:r>
      <w:r>
        <w:t xml:space="preserve"> Tony Marsh 68, 79 – 80 and 93, 102, </w:t>
      </w:r>
    </w:p>
  </w:endnote>
  <w:endnote w:id="16">
    <w:p w14:paraId="49810826" w14:textId="138FC4E7" w:rsidR="007C1D78" w:rsidRDefault="007C1D78">
      <w:pPr>
        <w:pStyle w:val="EndnoteText"/>
      </w:pPr>
      <w:r>
        <w:rPr>
          <w:rStyle w:val="EndnoteReference"/>
        </w:rPr>
        <w:endnoteRef/>
      </w:r>
      <w:r>
        <w:t xml:space="preserve"> Email from Jarnail Singh to Mandy Talbot and others </w:t>
      </w:r>
      <w:r w:rsidRPr="00D670CD">
        <w:rPr>
          <w:rFonts w:cstheme="minorHAnsi"/>
        </w:rPr>
        <w:t xml:space="preserve">regarding Seema </w:t>
      </w:r>
      <w:r w:rsidRPr="00D670CD">
        <w:rPr>
          <w:rFonts w:cstheme="minorHAnsi"/>
          <w:szCs w:val="18"/>
        </w:rPr>
        <w:t>Misra case, dated 21 October 2010, POL00093686 at p5</w:t>
      </w:r>
    </w:p>
  </w:endnote>
  <w:endnote w:id="17">
    <w:p w14:paraId="6C712DBA" w14:textId="22F063CC" w:rsidR="007C1D78" w:rsidRDefault="007C1D78">
      <w:pPr>
        <w:pStyle w:val="EndnoteText"/>
      </w:pPr>
      <w:r>
        <w:rPr>
          <w:rStyle w:val="EndnoteReference"/>
        </w:rPr>
        <w:endnoteRef/>
      </w:r>
      <w:r>
        <w:t xml:space="preserve"> Royal Mail interview transcript re Elena Herd dated 7 July 2011, </w:t>
      </w:r>
      <w:r w:rsidRPr="003C6B90">
        <w:t>POL00011147</w:t>
      </w:r>
    </w:p>
  </w:endnote>
  <w:endnote w:id="18">
    <w:p w14:paraId="7D6B6013" w14:textId="05AF952B" w:rsidR="007C1D78" w:rsidRDefault="007C1D78">
      <w:pPr>
        <w:pStyle w:val="EndnoteText"/>
      </w:pPr>
      <w:r>
        <w:rPr>
          <w:rStyle w:val="EndnoteReference"/>
        </w:rPr>
        <w:endnoteRef/>
      </w:r>
      <w:r>
        <w:t xml:space="preserve"> Summary of tape – recorded interview re Jacqueline McDonald, </w:t>
      </w:r>
      <w:r w:rsidRPr="003C6B90">
        <w:t>UKGI00014889</w:t>
      </w:r>
    </w:p>
  </w:endnote>
  <w:endnote w:id="19">
    <w:p w14:paraId="57AB1109" w14:textId="491068F7" w:rsidR="007C1D78" w:rsidRDefault="007C1D78">
      <w:pPr>
        <w:pStyle w:val="EndnoteText"/>
      </w:pPr>
      <w:r>
        <w:rPr>
          <w:rStyle w:val="EndnoteReference"/>
        </w:rPr>
        <w:endnoteRef/>
      </w:r>
      <w:r>
        <w:t xml:space="preserve"> Email from Mandy Talbot to Michele Graves re Eleanor Dixon dated 6 January 2010, </w:t>
      </w:r>
      <w:r w:rsidRPr="00F71166">
        <w:t>POL00053778</w:t>
      </w:r>
      <w:r>
        <w:t xml:space="preserve"> at p5</w:t>
      </w:r>
    </w:p>
  </w:endnote>
  <w:endnote w:id="20">
    <w:p w14:paraId="7A6AA1A7" w14:textId="1CA5323A" w:rsidR="007C1D78" w:rsidRDefault="007C1D78" w:rsidP="00093E3E">
      <w:pPr>
        <w:pStyle w:val="EndnoteText"/>
      </w:pPr>
      <w:r>
        <w:rPr>
          <w:rStyle w:val="EndnoteReference"/>
        </w:rPr>
        <w:endnoteRef/>
      </w:r>
      <w:r>
        <w:t xml:space="preserve"> Royal Mail Group Criminal Investigation and Prosecution Policy dated December 2007, </w:t>
      </w:r>
      <w:r w:rsidRPr="00093E3E">
        <w:t>POL00030578</w:t>
      </w:r>
    </w:p>
  </w:endnote>
  <w:endnote w:id="21">
    <w:p w14:paraId="27FF9D9F" w14:textId="7608A1B6" w:rsidR="007C1D78" w:rsidRDefault="007C1D78">
      <w:pPr>
        <w:pStyle w:val="EndnoteText"/>
      </w:pPr>
      <w:r>
        <w:rPr>
          <w:rStyle w:val="EndnoteReference"/>
        </w:rPr>
        <w:endnoteRef/>
      </w:r>
      <w:r>
        <w:t xml:space="preserve"> Tony Marsh 5 July 2023 p100 - 102</w:t>
      </w:r>
    </w:p>
  </w:endnote>
  <w:endnote w:id="22">
    <w:p w14:paraId="440110EA" w14:textId="2FA00B63" w:rsidR="007C1D78" w:rsidRDefault="007C1D78">
      <w:pPr>
        <w:pStyle w:val="EndnoteText"/>
      </w:pPr>
      <w:r>
        <w:rPr>
          <w:rStyle w:val="EndnoteReference"/>
        </w:rPr>
        <w:endnoteRef/>
      </w:r>
      <w:r>
        <w:t xml:space="preserve"> Post Office Limited Identification Codes – Ethnicities, </w:t>
      </w:r>
      <w:r w:rsidRPr="000729B0">
        <w:t>POL00115674.</w:t>
      </w:r>
    </w:p>
  </w:endnote>
  <w:endnote w:id="23">
    <w:p w14:paraId="5A72C671" w14:textId="00503807" w:rsidR="007C1D78" w:rsidRDefault="007C1D78">
      <w:pPr>
        <w:pStyle w:val="EndnoteText"/>
      </w:pPr>
      <w:r>
        <w:rPr>
          <w:rStyle w:val="EndnoteReference"/>
        </w:rPr>
        <w:endnoteRef/>
      </w:r>
      <w:r>
        <w:t xml:space="preserve"> Tony Marsh 5 July 2023 pp 79 and 94; Paul Whittaker, 16 November 2023, p96;</w:t>
      </w:r>
      <w:r w:rsidRPr="00F71166">
        <w:t>, p 79</w:t>
      </w:r>
      <w:r>
        <w:t>, David Pardoe, 29 November 2023, p66</w:t>
      </w:r>
    </w:p>
  </w:endnote>
  <w:endnote w:id="24">
    <w:p w14:paraId="36747B79" w14:textId="016D33F9" w:rsidR="007C1D78" w:rsidRDefault="007C1D78">
      <w:pPr>
        <w:pStyle w:val="EndnoteText"/>
      </w:pPr>
      <w:r>
        <w:rPr>
          <w:rStyle w:val="EndnoteReference"/>
        </w:rPr>
        <w:endnoteRef/>
      </w:r>
      <w:r>
        <w:t xml:space="preserve"> Tony Marsh 5 July 2023 p94</w:t>
      </w:r>
    </w:p>
  </w:endnote>
  <w:endnote w:id="25">
    <w:p w14:paraId="068A30E1" w14:textId="02AED4D7" w:rsidR="007C1D78" w:rsidRDefault="007C1D78">
      <w:pPr>
        <w:pStyle w:val="EndnoteText"/>
      </w:pPr>
      <w:r>
        <w:rPr>
          <w:rStyle w:val="EndnoteReference"/>
        </w:rPr>
        <w:endnoteRef/>
      </w:r>
      <w:r>
        <w:t xml:space="preserve"> David Pardoe, 29 November 2023 p 99</w:t>
      </w:r>
    </w:p>
  </w:endnote>
  <w:endnote w:id="26">
    <w:p w14:paraId="2A30D445" w14:textId="19E67FB4" w:rsidR="007C1D78" w:rsidRDefault="007C1D78" w:rsidP="004F1E8A">
      <w:pPr>
        <w:pStyle w:val="EndnoteText"/>
      </w:pPr>
      <w:r>
        <w:rPr>
          <w:rStyle w:val="EndnoteReference"/>
        </w:rPr>
        <w:endnoteRef/>
      </w:r>
      <w:r>
        <w:t xml:space="preserve"> Andrew </w:t>
      </w:r>
      <w:proofErr w:type="spellStart"/>
      <w:r>
        <w:t>Bolc</w:t>
      </w:r>
      <w:proofErr w:type="spellEnd"/>
      <w:r>
        <w:t xml:space="preserve"> 15 December 2023, p59</w:t>
      </w:r>
    </w:p>
  </w:endnote>
  <w:endnote w:id="27">
    <w:p w14:paraId="537C6EF5" w14:textId="41BE30A4" w:rsidR="007C1D78" w:rsidRDefault="007C1D78">
      <w:pPr>
        <w:pStyle w:val="EndnoteText"/>
      </w:pPr>
      <w:r>
        <w:rPr>
          <w:rStyle w:val="EndnoteReference"/>
        </w:rPr>
        <w:endnoteRef/>
      </w:r>
      <w:r>
        <w:t xml:space="preserve"> Elaine Cottam, 7 November 2023, p3</w:t>
      </w:r>
    </w:p>
  </w:endnote>
  <w:endnote w:id="28">
    <w:p w14:paraId="1E8E195E" w14:textId="668BA063" w:rsidR="007C1D78" w:rsidRDefault="007C1D78" w:rsidP="0093554C">
      <w:pPr>
        <w:pStyle w:val="EndnoteText"/>
      </w:pPr>
      <w:r>
        <w:rPr>
          <w:rStyle w:val="EndnoteReference"/>
        </w:rPr>
        <w:endnoteRef/>
      </w:r>
      <w:r>
        <w:t xml:space="preserve"> Email from Jarnail Singh to Martin Smith re Disclosure in Criminal Cases dated 1 August 2013 </w:t>
      </w:r>
      <w:r w:rsidRPr="0093554C">
        <w:t>POL00139746</w:t>
      </w:r>
    </w:p>
  </w:endnote>
  <w:endnote w:id="29">
    <w:p w14:paraId="3F11C560" w14:textId="62D778A4" w:rsidR="007C1D78" w:rsidRDefault="007C1D78">
      <w:pPr>
        <w:pStyle w:val="EndnoteText"/>
      </w:pPr>
      <w:r>
        <w:rPr>
          <w:rStyle w:val="EndnoteReference"/>
        </w:rPr>
        <w:endnoteRef/>
      </w:r>
      <w:r>
        <w:t xml:space="preserve"> Helen Rose, 19 September 2023, pp 46 – 47 and 54 - 55</w:t>
      </w:r>
    </w:p>
  </w:endnote>
  <w:endnote w:id="30">
    <w:p w14:paraId="413A96E8" w14:textId="29D62BF2" w:rsidR="007C1D78" w:rsidRDefault="007C1D78">
      <w:pPr>
        <w:pStyle w:val="EndnoteText"/>
      </w:pPr>
      <w:r>
        <w:rPr>
          <w:rStyle w:val="EndnoteReference"/>
        </w:rPr>
        <w:endnoteRef/>
      </w:r>
      <w:r>
        <w:t xml:space="preserve"> Helen Rose, 19 September 2023, pp 66 - 72</w:t>
      </w:r>
    </w:p>
  </w:endnote>
  <w:endnote w:id="31">
    <w:p w14:paraId="17EF44AF" w14:textId="32632393" w:rsidR="007C1D78" w:rsidRDefault="007C1D78">
      <w:pPr>
        <w:pStyle w:val="EndnoteText"/>
      </w:pPr>
      <w:r>
        <w:rPr>
          <w:rStyle w:val="EndnoteReference"/>
        </w:rPr>
        <w:endnoteRef/>
      </w:r>
      <w:r>
        <w:t xml:space="preserve"> </w:t>
      </w:r>
      <w:r w:rsidRPr="00996983">
        <w:t>Advice on the use of expert evidence relating to the integrity of the Fujitsu Services Ltd Horizon System</w:t>
      </w:r>
      <w:r>
        <w:t xml:space="preserve">, dated 15 July 2013, </w:t>
      </w:r>
      <w:r w:rsidRPr="00996983">
        <w:t>POL00006357</w:t>
      </w:r>
    </w:p>
  </w:endnote>
  <w:endnote w:id="32">
    <w:p w14:paraId="76435A69" w14:textId="3F6436DF" w:rsidR="007C1D78" w:rsidRDefault="007C1D78">
      <w:pPr>
        <w:pStyle w:val="EndnoteText"/>
      </w:pPr>
      <w:r>
        <w:rPr>
          <w:rStyle w:val="EndnoteReference"/>
        </w:rPr>
        <w:endnoteRef/>
      </w:r>
      <w:r>
        <w:t xml:space="preserve"> </w:t>
      </w:r>
      <w:r w:rsidRPr="006719BD">
        <w:rPr>
          <w:rFonts w:cstheme="minorHAnsi"/>
          <w:szCs w:val="18"/>
        </w:rPr>
        <w:t>Email chain between Jarnail Singh and Martin Smith Re: Bullets, dated 30 June 2014</w:t>
      </w:r>
      <w:r>
        <w:rPr>
          <w:rFonts w:cstheme="minorHAnsi"/>
          <w:szCs w:val="18"/>
        </w:rPr>
        <w:t xml:space="preserve">, </w:t>
      </w:r>
      <w:r w:rsidRPr="00F80A86">
        <w:t>POL00113015</w:t>
      </w:r>
      <w:r>
        <w:t xml:space="preserve"> at p8 and Jarnail Singh, 30 November 2023, pp 88 - 96</w:t>
      </w:r>
    </w:p>
  </w:endnote>
  <w:endnote w:id="33">
    <w:p w14:paraId="243BDF0E" w14:textId="7FDBEAC2" w:rsidR="007C1D78" w:rsidRPr="006719BD" w:rsidRDefault="007C1D78" w:rsidP="0098462A">
      <w:pPr>
        <w:pStyle w:val="EndnoteText"/>
        <w:rPr>
          <w:rFonts w:cstheme="minorHAnsi"/>
          <w:szCs w:val="18"/>
        </w:rPr>
      </w:pPr>
      <w:r w:rsidRPr="006719BD">
        <w:rPr>
          <w:rStyle w:val="EndnoteReference"/>
          <w:rFonts w:cstheme="minorHAnsi"/>
          <w:szCs w:val="18"/>
        </w:rPr>
        <w:endnoteRef/>
      </w:r>
      <w:r w:rsidRPr="006719BD">
        <w:rPr>
          <w:rFonts w:cstheme="minorHAnsi"/>
          <w:szCs w:val="18"/>
        </w:rPr>
        <w:t xml:space="preserve"> Email from John Scott to Susan Crichton CC John Scott re: Weds Call - Integrity of the Horizon System and Branch Support Programme, dated 14 August 2013 - POL00139690</w:t>
      </w:r>
    </w:p>
  </w:endnote>
  <w:endnote w:id="34">
    <w:p w14:paraId="0B18651A" w14:textId="38985404" w:rsidR="007C1D78" w:rsidRPr="006719BD" w:rsidRDefault="007C1D78">
      <w:pPr>
        <w:pStyle w:val="EndnoteText"/>
        <w:rPr>
          <w:rFonts w:cstheme="minorHAnsi"/>
          <w:szCs w:val="18"/>
        </w:rPr>
      </w:pPr>
      <w:r w:rsidRPr="006719BD">
        <w:rPr>
          <w:rStyle w:val="EndnoteReference"/>
          <w:rFonts w:cstheme="minorHAnsi"/>
          <w:szCs w:val="18"/>
        </w:rPr>
        <w:endnoteRef/>
      </w:r>
      <w:r w:rsidRPr="006719BD">
        <w:rPr>
          <w:rFonts w:cstheme="minorHAnsi"/>
          <w:szCs w:val="18"/>
        </w:rPr>
        <w:t xml:space="preserve"> 'Regular Call re Horizon Issues' between Jarnail Singh, Andrew Parsons, Martin Smith and others  dated 24 July 2013 - POL00083933; </w:t>
      </w:r>
    </w:p>
  </w:endnote>
  <w:endnote w:id="35">
    <w:p w14:paraId="4C8DDF75" w14:textId="13398AE9" w:rsidR="007C1D78" w:rsidRPr="006719BD" w:rsidRDefault="007C1D78" w:rsidP="00003E62">
      <w:pPr>
        <w:pStyle w:val="EndnoteText"/>
        <w:rPr>
          <w:rFonts w:cstheme="minorHAnsi"/>
          <w:szCs w:val="18"/>
        </w:rPr>
      </w:pPr>
      <w:r w:rsidRPr="006719BD">
        <w:rPr>
          <w:rStyle w:val="EndnoteReference"/>
          <w:rFonts w:cstheme="minorHAnsi"/>
          <w:szCs w:val="18"/>
        </w:rPr>
        <w:endnoteRef/>
      </w:r>
      <w:r w:rsidRPr="006719BD">
        <w:rPr>
          <w:rFonts w:cstheme="minorHAnsi"/>
          <w:szCs w:val="18"/>
        </w:rPr>
        <w:t xml:space="preserve"> Note Entry for Case - 37142 - POL00139745</w:t>
      </w:r>
    </w:p>
  </w:endnote>
  <w:endnote w:id="36">
    <w:p w14:paraId="400725D6" w14:textId="12A3D06B" w:rsidR="007C1D78" w:rsidRPr="006719BD" w:rsidRDefault="007C1D78">
      <w:pPr>
        <w:pStyle w:val="EndnoteText"/>
        <w:rPr>
          <w:rFonts w:cstheme="minorHAnsi"/>
          <w:szCs w:val="18"/>
        </w:rPr>
      </w:pPr>
      <w:r w:rsidRPr="006719BD">
        <w:rPr>
          <w:rStyle w:val="EndnoteReference"/>
          <w:rFonts w:cstheme="minorHAnsi"/>
          <w:szCs w:val="18"/>
        </w:rPr>
        <w:endnoteRef/>
      </w:r>
      <w:r w:rsidRPr="006719BD">
        <w:rPr>
          <w:rFonts w:cstheme="minorHAnsi"/>
          <w:szCs w:val="18"/>
        </w:rPr>
        <w:t xml:space="preserve"> David Posnett – 6 December 2023 pp 130-131, 134 – 135, and 177</w:t>
      </w:r>
    </w:p>
  </w:endnote>
  <w:endnote w:id="37">
    <w:p w14:paraId="0DE6E8AA" w14:textId="196790A0" w:rsidR="007C1D78" w:rsidRPr="006719BD" w:rsidRDefault="007C1D78" w:rsidP="00084255">
      <w:pPr>
        <w:pStyle w:val="EndnoteText"/>
        <w:rPr>
          <w:rFonts w:cstheme="minorHAnsi"/>
          <w:szCs w:val="18"/>
        </w:rPr>
      </w:pPr>
      <w:r w:rsidRPr="006719BD">
        <w:rPr>
          <w:rStyle w:val="EndnoteReference"/>
          <w:rFonts w:cstheme="minorHAnsi"/>
          <w:szCs w:val="18"/>
        </w:rPr>
        <w:endnoteRef/>
      </w:r>
      <w:r w:rsidRPr="006719BD">
        <w:rPr>
          <w:rFonts w:cstheme="minorHAnsi"/>
          <w:szCs w:val="18"/>
        </w:rPr>
        <w:t xml:space="preserve"> Advice on Disclosure and the Duty to Records and Retain Material by Simon Clarke dated 2 August 2013 - POL00006799</w:t>
      </w:r>
    </w:p>
  </w:endnote>
  <w:endnote w:id="38">
    <w:p w14:paraId="74661E50" w14:textId="116C6026" w:rsidR="007C1D78" w:rsidRPr="006719BD" w:rsidRDefault="007C1D78">
      <w:pPr>
        <w:pStyle w:val="EndnoteText"/>
        <w:rPr>
          <w:rFonts w:cstheme="minorHAnsi"/>
          <w:szCs w:val="18"/>
        </w:rPr>
      </w:pPr>
      <w:r w:rsidRPr="006719BD">
        <w:rPr>
          <w:rStyle w:val="EndnoteReference"/>
          <w:rFonts w:cstheme="minorHAnsi"/>
          <w:szCs w:val="18"/>
        </w:rPr>
        <w:endnoteRef/>
      </w:r>
      <w:r w:rsidRPr="006719BD">
        <w:rPr>
          <w:rFonts w:cstheme="minorHAnsi"/>
          <w:szCs w:val="18"/>
        </w:rPr>
        <w:t xml:space="preserve"> Tony Marsh, 5 July 2023, pp 100 – 112; and Guide to the Preparation and Layout of Investigation Red Label Case Files dates 7 March 2013, POL00038452 at p13</w:t>
      </w:r>
    </w:p>
  </w:endnote>
  <w:endnote w:id="39">
    <w:p w14:paraId="18B3A58D" w14:textId="649E91C1" w:rsidR="007C1D78" w:rsidRPr="006719BD" w:rsidRDefault="007C1D78">
      <w:pPr>
        <w:pStyle w:val="EndnoteText"/>
        <w:rPr>
          <w:rFonts w:cstheme="minorHAnsi"/>
          <w:szCs w:val="18"/>
        </w:rPr>
      </w:pPr>
      <w:r w:rsidRPr="006719BD">
        <w:rPr>
          <w:rStyle w:val="EndnoteReference"/>
          <w:rFonts w:cstheme="minorHAnsi"/>
          <w:szCs w:val="18"/>
        </w:rPr>
        <w:endnoteRef/>
      </w:r>
      <w:r w:rsidRPr="006719BD">
        <w:rPr>
          <w:rFonts w:cstheme="minorHAnsi"/>
          <w:szCs w:val="18"/>
        </w:rPr>
        <w:t xml:space="preserve"> Stephen Bradshaw, 11 January 2024, pp 20 – 30; and Elaine Cottam, 7 November 2023, pp 66 - 67</w:t>
      </w:r>
    </w:p>
  </w:endnote>
  <w:endnote w:id="40">
    <w:p w14:paraId="644F4C2A" w14:textId="050D3B94" w:rsidR="007C1D78" w:rsidRPr="006719BD" w:rsidRDefault="007C1D78">
      <w:pPr>
        <w:pStyle w:val="EndnoteText"/>
        <w:rPr>
          <w:rFonts w:cstheme="minorHAnsi"/>
          <w:szCs w:val="18"/>
        </w:rPr>
      </w:pPr>
      <w:r w:rsidRPr="006719BD">
        <w:rPr>
          <w:rStyle w:val="EndnoteReference"/>
          <w:rFonts w:cstheme="minorHAnsi"/>
          <w:szCs w:val="18"/>
        </w:rPr>
        <w:endnoteRef/>
      </w:r>
      <w:r w:rsidRPr="006719BD">
        <w:rPr>
          <w:rFonts w:cstheme="minorHAnsi"/>
          <w:szCs w:val="18"/>
        </w:rPr>
        <w:t xml:space="preserve"> Email from Jarnail A Singh to Hugh Flemington, Susan Crichton and Alwen Lyon re: 2nd Sight Review draft dated 31 July 2012, POL00058155 and Stephen Bradshaw, 11 January 2024, pp 26 - 29</w:t>
      </w:r>
    </w:p>
  </w:endnote>
  <w:endnote w:id="41">
    <w:p w14:paraId="04B3FE1E" w14:textId="672CE636" w:rsidR="007C1D78" w:rsidRDefault="007C1D78">
      <w:pPr>
        <w:pStyle w:val="EndnoteText"/>
      </w:pPr>
      <w:r w:rsidRPr="006719BD">
        <w:rPr>
          <w:rStyle w:val="EndnoteReference"/>
          <w:rFonts w:cstheme="minorHAnsi"/>
          <w:szCs w:val="18"/>
        </w:rPr>
        <w:endnoteRef/>
      </w:r>
      <w:r w:rsidRPr="006719BD">
        <w:rPr>
          <w:rFonts w:cstheme="minorHAnsi"/>
          <w:szCs w:val="18"/>
        </w:rPr>
        <w:t xml:space="preserve"> David Pardoe, 29 November 2023, pp 133 – 134, Josephine Hamiliton Offences Report, dated 17 May 2006, POL00047955 at p3; Diane Matthews, 24 November 2023, pp119 – 123; Court of Appeal Judgment between Josephine Hamilton &amp; Others and Post Office Limited, dated 23 April 2021, POL00113278 at p38; Duncan Atkinson KC, 18 December 2023, p56</w:t>
      </w:r>
    </w:p>
  </w:endnote>
  <w:endnote w:id="42">
    <w:p w14:paraId="341B1ED8" w14:textId="1C4C5059" w:rsidR="007C1D78" w:rsidRDefault="007C1D78">
      <w:pPr>
        <w:pStyle w:val="EndnoteText"/>
      </w:pPr>
      <w:r>
        <w:rPr>
          <w:rStyle w:val="EndnoteReference"/>
        </w:rPr>
        <w:endnoteRef/>
      </w:r>
      <w:r>
        <w:t xml:space="preserve"> E.g. Stephen Bradshaw, 11 January 2024, pp197 - 199</w:t>
      </w:r>
    </w:p>
  </w:endnote>
  <w:endnote w:id="43">
    <w:p w14:paraId="0A167D58" w14:textId="0115E8B2" w:rsidR="007C1D78" w:rsidRDefault="007C1D78" w:rsidP="00996983">
      <w:pPr>
        <w:pStyle w:val="EndnoteText"/>
      </w:pPr>
      <w:r>
        <w:rPr>
          <w:rStyle w:val="EndnoteReference"/>
        </w:rPr>
        <w:endnoteRef/>
      </w:r>
      <w:r>
        <w:t xml:space="preserve"> Report on Lepton SPSO, draft report by Helen Rose dated 12 June 2013, FUJ00086811; Email chain from Helen Rose to Dave Posnett re: Lepton Logs dated 13 February 2013, POL00097481; and </w:t>
      </w:r>
      <w:r w:rsidRPr="00996983">
        <w:t>Advice on the use of expert evidence relating to the integrity of the Fujitsu Services Ltd Horizon System</w:t>
      </w:r>
      <w:r>
        <w:t xml:space="preserve">, dated 15 July 2013, </w:t>
      </w:r>
      <w:r w:rsidRPr="00996983">
        <w:t>POL00006357</w:t>
      </w:r>
    </w:p>
  </w:endnote>
  <w:endnote w:id="44">
    <w:p w14:paraId="1051F5F7" w14:textId="77777777" w:rsidR="007C1D78" w:rsidRDefault="007C1D78" w:rsidP="00CC78DA">
      <w:pPr>
        <w:pStyle w:val="EndnoteText"/>
      </w:pPr>
      <w:r>
        <w:rPr>
          <w:rStyle w:val="EndnoteReference"/>
        </w:rPr>
        <w:endnoteRef/>
      </w:r>
      <w:r>
        <w:t xml:space="preserve"> </w:t>
      </w:r>
      <w:r w:rsidRPr="00A5223A">
        <w:t>Email from Rob Wilson to Dave Posnett, re Challenges to Horizon</w:t>
      </w:r>
      <w:r>
        <w:t xml:space="preserve"> dated 3 March 2010 </w:t>
      </w:r>
      <w:r w:rsidRPr="00A5223A">
        <w:t>POL00106867</w:t>
      </w:r>
      <w:r>
        <w:t>, at p1</w:t>
      </w:r>
    </w:p>
  </w:endnote>
  <w:endnote w:id="45">
    <w:p w14:paraId="00AAB9B1" w14:textId="77777777" w:rsidR="00BE1760" w:rsidRDefault="00BE1760" w:rsidP="0098608D">
      <w:pPr>
        <w:pStyle w:val="EndnoteText"/>
      </w:pPr>
      <w:r>
        <w:rPr>
          <w:rStyle w:val="EndnoteReference"/>
        </w:rPr>
        <w:endnoteRef/>
      </w:r>
      <w:r>
        <w:t xml:space="preserve"> </w:t>
      </w:r>
      <w:r w:rsidRPr="00A5223A">
        <w:t>Email from Rob Wilson to Dave Posnett, re Challenges to Horizon</w:t>
      </w:r>
      <w:r>
        <w:t xml:space="preserve"> dated 3 March 2010 </w:t>
      </w:r>
      <w:r w:rsidRPr="00A5223A">
        <w:t>POL00106867</w:t>
      </w:r>
      <w:r>
        <w:t>, at pp 1-3 This also demonstrates</w:t>
      </w:r>
      <w:r w:rsidRPr="002F0647">
        <w:t xml:space="preserve"> the cycle of the myth of Horizon integrity, as outlined in the NFSP’s phase 3 closing submissions.</w:t>
      </w:r>
    </w:p>
  </w:endnote>
  <w:endnote w:id="46">
    <w:p w14:paraId="30A25FCB" w14:textId="77777777" w:rsidR="00BE1760" w:rsidRDefault="00BE1760" w:rsidP="0098608D">
      <w:pPr>
        <w:pStyle w:val="EndnoteText"/>
      </w:pPr>
      <w:r>
        <w:rPr>
          <w:rStyle w:val="EndnoteReference"/>
        </w:rPr>
        <w:endnoteRef/>
      </w:r>
      <w:r>
        <w:t xml:space="preserve"> E.g. Rod Ismay 11 May 2023 pp103 - 104</w:t>
      </w:r>
    </w:p>
  </w:endnote>
  <w:endnote w:id="47">
    <w:p w14:paraId="6041B3D4" w14:textId="77777777" w:rsidR="00BE1760" w:rsidRDefault="00BE1760" w:rsidP="0098608D">
      <w:pPr>
        <w:pStyle w:val="EndnoteText"/>
      </w:pPr>
      <w:r>
        <w:rPr>
          <w:rStyle w:val="EndnoteReference"/>
        </w:rPr>
        <w:endnoteRef/>
      </w:r>
      <w:r>
        <w:t xml:space="preserve"> </w:t>
      </w:r>
      <w:r w:rsidRPr="00E23E49">
        <w:t xml:space="preserve">Email from Chris </w:t>
      </w:r>
      <w:proofErr w:type="spellStart"/>
      <w:r w:rsidRPr="00E23E49">
        <w:t>Darvill</w:t>
      </w:r>
      <w:proofErr w:type="spellEnd"/>
      <w:r w:rsidRPr="00E23E49">
        <w:t xml:space="preserve"> to Susan Crichton cc Alwen Lyons re: Comments from Rob Wilson regarding an audit</w:t>
      </w:r>
      <w:r>
        <w:t xml:space="preserve">, dated 28 March 2012, </w:t>
      </w:r>
      <w:r w:rsidRPr="00E23E49">
        <w:t>POL00105593</w:t>
      </w:r>
    </w:p>
  </w:endnote>
  <w:endnote w:id="48">
    <w:p w14:paraId="0E75E7FC" w14:textId="3F3D2838" w:rsidR="007C1D78" w:rsidRDefault="007C1D78">
      <w:pPr>
        <w:pStyle w:val="EndnoteText"/>
      </w:pPr>
      <w:r>
        <w:rPr>
          <w:rStyle w:val="EndnoteReference"/>
        </w:rPr>
        <w:endnoteRef/>
      </w:r>
      <w:r>
        <w:t xml:space="preserve"> David Pardoe, 29 November 2023, p150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036117"/>
      <w:docPartObj>
        <w:docPartGallery w:val="Page Numbers (Bottom of Page)"/>
        <w:docPartUnique/>
      </w:docPartObj>
    </w:sdtPr>
    <w:sdtEndPr>
      <w:rPr>
        <w:noProof/>
      </w:rPr>
    </w:sdtEndPr>
    <w:sdtContent>
      <w:p w14:paraId="534EAEDC" w14:textId="5DD98212" w:rsidR="002750E5" w:rsidRDefault="002750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2F249F" w14:textId="77777777" w:rsidR="00A862EB" w:rsidRDefault="00A86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C33A" w14:textId="77777777" w:rsidR="00DF37EB" w:rsidRDefault="00DF37EB" w:rsidP="00E10476">
      <w:r>
        <w:separator/>
      </w:r>
    </w:p>
  </w:footnote>
  <w:footnote w:type="continuationSeparator" w:id="0">
    <w:p w14:paraId="7110BA25" w14:textId="77777777" w:rsidR="00DF37EB" w:rsidRDefault="00DF37EB" w:rsidP="00E10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6021" w14:textId="77777777" w:rsidR="00A20421" w:rsidRPr="00583E7E" w:rsidRDefault="00A20421" w:rsidP="00583E7E">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0D68"/>
    <w:multiLevelType w:val="hybridMultilevel"/>
    <w:tmpl w:val="9BC43046"/>
    <w:lvl w:ilvl="0" w:tplc="060EC322">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067A8"/>
    <w:multiLevelType w:val="hybridMultilevel"/>
    <w:tmpl w:val="C5B8BB60"/>
    <w:lvl w:ilvl="0" w:tplc="02C2159E">
      <w:start w:val="200"/>
      <w:numFmt w:val="bullet"/>
      <w:pStyle w:val="ASBullets"/>
      <w:lvlText w:val="•"/>
      <w:lvlJc w:val="left"/>
      <w:pPr>
        <w:ind w:left="700" w:hanging="360"/>
      </w:pPr>
      <w:rPr>
        <w:rFonts w:ascii="Calibri" w:hAnsi="Calibri" w:cs="Calibri" w:hint="default"/>
        <w:b w:val="0"/>
        <w:bCs w:val="0"/>
        <w:i w:val="0"/>
        <w:iCs w:val="0"/>
        <w:color w:val="auto"/>
        <w:sz w:val="16"/>
        <w:szCs w:val="16"/>
      </w:rPr>
    </w:lvl>
    <w:lvl w:ilvl="1" w:tplc="D4A662C0">
      <w:start w:val="1"/>
      <w:numFmt w:val="lowerLetter"/>
      <w:lvlText w:val="(%2)"/>
      <w:lvlJc w:val="left"/>
      <w:pPr>
        <w:ind w:left="1440" w:hanging="360"/>
      </w:pPr>
      <w:rPr>
        <w:rFonts w:hint="default"/>
        <w:b/>
        <w:color w:val="F82B1D"/>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871DD"/>
    <w:multiLevelType w:val="multilevel"/>
    <w:tmpl w:val="CCE87DDC"/>
    <w:lvl w:ilvl="0">
      <w:start w:val="1"/>
      <w:numFmt w:val="decimal"/>
      <w:pStyle w:val="ASNumberedLevel1"/>
      <w:lvlText w:val="%1."/>
      <w:lvlJc w:val="left"/>
      <w:pPr>
        <w:ind w:left="340" w:hanging="3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SNumberedLevel2"/>
      <w:lvlText w:val="%1.%2."/>
      <w:lvlJc w:val="left"/>
      <w:pPr>
        <w:ind w:left="454" w:hanging="454"/>
      </w:pPr>
      <w:rPr>
        <w:rFonts w:hint="default"/>
        <w:b w:val="0"/>
        <w:bCs w:val="0"/>
        <w:i w:val="0"/>
        <w:iCs w:val="0"/>
        <w:color w:val="auto"/>
        <w:sz w:val="22"/>
        <w:szCs w:val="22"/>
      </w:rPr>
    </w:lvl>
    <w:lvl w:ilvl="2">
      <w:start w:val="1"/>
      <w:numFmt w:val="decimal"/>
      <w:pStyle w:val="ASNumberedLevel3"/>
      <w:lvlText w:val="%1.%2.%3."/>
      <w:lvlJc w:val="left"/>
      <w:pPr>
        <w:ind w:left="680" w:hanging="226"/>
      </w:pPr>
      <w:rPr>
        <w:rFonts w:hint="default"/>
        <w:b w:val="0"/>
        <w:bCs w:val="0"/>
        <w:i w:val="0"/>
        <w:iCs w:val="0"/>
        <w:color w:val="auto"/>
        <w:sz w:val="22"/>
        <w:szCs w:val="22"/>
      </w:rPr>
    </w:lvl>
    <w:lvl w:ilvl="3">
      <w:start w:val="1"/>
      <w:numFmt w:val="decimal"/>
      <w:pStyle w:val="ASNumberedLevel4"/>
      <w:lvlText w:val="%1.%2.%3.%4."/>
      <w:lvlJc w:val="left"/>
      <w:pPr>
        <w:ind w:left="1728" w:hanging="648"/>
      </w:pPr>
      <w:rPr>
        <w:rFonts w:hint="default"/>
      </w:rPr>
    </w:lvl>
    <w:lvl w:ilvl="4">
      <w:start w:val="1"/>
      <w:numFmt w:val="decimal"/>
      <w:pStyle w:val="ASNumberedLevel5"/>
      <w:lvlText w:val="%1.%2.%3.%4.%5."/>
      <w:lvlJc w:val="left"/>
      <w:pPr>
        <w:ind w:left="2232" w:hanging="792"/>
      </w:pPr>
      <w:rPr>
        <w:rFonts w:hint="default"/>
      </w:rPr>
    </w:lvl>
    <w:lvl w:ilvl="5">
      <w:start w:val="1"/>
      <w:numFmt w:val="decimal"/>
      <w:pStyle w:val="ASNumberedLevel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7C7509"/>
    <w:multiLevelType w:val="hybridMultilevel"/>
    <w:tmpl w:val="BB509384"/>
    <w:lvl w:ilvl="0" w:tplc="A872A0AC">
      <w:start w:val="1"/>
      <w:numFmt w:val="lowerLetter"/>
      <w:pStyle w:val="ListParagraph"/>
      <w:lvlText w:val="(%1)"/>
      <w:lvlJc w:val="left"/>
      <w:pPr>
        <w:ind w:left="1440" w:hanging="360"/>
      </w:pPr>
      <w:rPr>
        <w:rFonts w:hint="default"/>
        <w:b w:val="0"/>
        <w:bCs w:val="0"/>
        <w:i w:val="0"/>
        <w:iCs w:val="0"/>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3E04392"/>
    <w:multiLevelType w:val="multilevel"/>
    <w:tmpl w:val="F19CA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FD0D4C"/>
    <w:multiLevelType w:val="hybridMultilevel"/>
    <w:tmpl w:val="38800F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F96F96"/>
    <w:multiLevelType w:val="hybridMultilevel"/>
    <w:tmpl w:val="E4E261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E67CEA"/>
    <w:multiLevelType w:val="hybridMultilevel"/>
    <w:tmpl w:val="C91CC5C4"/>
    <w:lvl w:ilvl="0" w:tplc="A6A44C12">
      <w:start w:val="1"/>
      <w:numFmt w:val="upperLetter"/>
      <w:pStyle w:val="ASPreambleLettering"/>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76518"/>
    <w:multiLevelType w:val="hybridMultilevel"/>
    <w:tmpl w:val="C9E26466"/>
    <w:lvl w:ilvl="0" w:tplc="08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BFC3A26"/>
    <w:multiLevelType w:val="multilevel"/>
    <w:tmpl w:val="E1283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1C604E"/>
    <w:multiLevelType w:val="multilevel"/>
    <w:tmpl w:val="9FB67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50326868">
    <w:abstractNumId w:val="2"/>
  </w:num>
  <w:num w:numId="2" w16cid:durableId="1601453153">
    <w:abstractNumId w:val="3"/>
    <w:lvlOverride w:ilvl="0">
      <w:startOverride w:val="1"/>
    </w:lvlOverride>
  </w:num>
  <w:num w:numId="3" w16cid:durableId="799298461">
    <w:abstractNumId w:val="1"/>
  </w:num>
  <w:num w:numId="4" w16cid:durableId="861549799">
    <w:abstractNumId w:val="7"/>
  </w:num>
  <w:num w:numId="5" w16cid:durableId="2032492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5566020">
    <w:abstractNumId w:val="5"/>
  </w:num>
  <w:num w:numId="7" w16cid:durableId="1441531743">
    <w:abstractNumId w:val="0"/>
  </w:num>
  <w:num w:numId="8" w16cid:durableId="273753303">
    <w:abstractNumId w:val="4"/>
  </w:num>
  <w:num w:numId="9" w16cid:durableId="1684476155">
    <w:abstractNumId w:val="10"/>
  </w:num>
  <w:num w:numId="10" w16cid:durableId="712925276">
    <w:abstractNumId w:val="9"/>
  </w:num>
  <w:num w:numId="11" w16cid:durableId="501431065">
    <w:abstractNumId w:val="6"/>
  </w:num>
  <w:num w:numId="12" w16cid:durableId="45286860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4704" w:allStyles="0" w:customStyles="0" w:latentStyles="1" w:stylesInUse="0" w:headingStyles="0" w:numberingStyles="0" w:tableStyles="0" w:directFormattingOnRuns="1" w:directFormattingOnParagraphs="1" w:directFormattingOnNumbering="1" w:directFormattingOnTables="0" w:clearFormatting="0" w:top3HeadingStyles="0" w:visibleStyles="1" w:alternateStyleNames="0"/>
  <w:defaultTabStop w:val="73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58"/>
    <w:rsid w:val="000000E9"/>
    <w:rsid w:val="00003E62"/>
    <w:rsid w:val="00005563"/>
    <w:rsid w:val="000059CF"/>
    <w:rsid w:val="000065E2"/>
    <w:rsid w:val="00011E25"/>
    <w:rsid w:val="00022B2D"/>
    <w:rsid w:val="00032CA6"/>
    <w:rsid w:val="000347BB"/>
    <w:rsid w:val="000368F0"/>
    <w:rsid w:val="000519E7"/>
    <w:rsid w:val="0005282F"/>
    <w:rsid w:val="00056755"/>
    <w:rsid w:val="00056E1D"/>
    <w:rsid w:val="00057183"/>
    <w:rsid w:val="0006241D"/>
    <w:rsid w:val="00063D7C"/>
    <w:rsid w:val="000729B0"/>
    <w:rsid w:val="000768D6"/>
    <w:rsid w:val="00084255"/>
    <w:rsid w:val="0008507B"/>
    <w:rsid w:val="0009033F"/>
    <w:rsid w:val="00092015"/>
    <w:rsid w:val="00093E3E"/>
    <w:rsid w:val="00097E3C"/>
    <w:rsid w:val="000A04DF"/>
    <w:rsid w:val="000A1F82"/>
    <w:rsid w:val="000A2981"/>
    <w:rsid w:val="000A3307"/>
    <w:rsid w:val="000A60E8"/>
    <w:rsid w:val="000B00CC"/>
    <w:rsid w:val="000B2EBE"/>
    <w:rsid w:val="000B4D32"/>
    <w:rsid w:val="000B6C9B"/>
    <w:rsid w:val="000C5B58"/>
    <w:rsid w:val="000C6021"/>
    <w:rsid w:val="000D2FA8"/>
    <w:rsid w:val="000D31A4"/>
    <w:rsid w:val="000D5058"/>
    <w:rsid w:val="000D6EE5"/>
    <w:rsid w:val="000E4E21"/>
    <w:rsid w:val="00112D32"/>
    <w:rsid w:val="001253F5"/>
    <w:rsid w:val="0012543B"/>
    <w:rsid w:val="00125900"/>
    <w:rsid w:val="001312C3"/>
    <w:rsid w:val="00137D0F"/>
    <w:rsid w:val="00150C26"/>
    <w:rsid w:val="001518C5"/>
    <w:rsid w:val="0016113F"/>
    <w:rsid w:val="00162B71"/>
    <w:rsid w:val="00163117"/>
    <w:rsid w:val="00163642"/>
    <w:rsid w:val="0017399B"/>
    <w:rsid w:val="00181D05"/>
    <w:rsid w:val="001A0655"/>
    <w:rsid w:val="001A0EEB"/>
    <w:rsid w:val="001B6C6E"/>
    <w:rsid w:val="001B7834"/>
    <w:rsid w:val="001D6A1C"/>
    <w:rsid w:val="001E2DE5"/>
    <w:rsid w:val="001E6584"/>
    <w:rsid w:val="0020033B"/>
    <w:rsid w:val="002125C5"/>
    <w:rsid w:val="002153B0"/>
    <w:rsid w:val="00221689"/>
    <w:rsid w:val="002304AC"/>
    <w:rsid w:val="00232593"/>
    <w:rsid w:val="00240923"/>
    <w:rsid w:val="0024364F"/>
    <w:rsid w:val="002446E0"/>
    <w:rsid w:val="00250584"/>
    <w:rsid w:val="0025331B"/>
    <w:rsid w:val="002567FC"/>
    <w:rsid w:val="002750E5"/>
    <w:rsid w:val="002767C6"/>
    <w:rsid w:val="002775E9"/>
    <w:rsid w:val="00281029"/>
    <w:rsid w:val="00284796"/>
    <w:rsid w:val="00291468"/>
    <w:rsid w:val="0029152A"/>
    <w:rsid w:val="00291C2E"/>
    <w:rsid w:val="0029313C"/>
    <w:rsid w:val="002A6FE0"/>
    <w:rsid w:val="002B141C"/>
    <w:rsid w:val="002D775B"/>
    <w:rsid w:val="002E4DA7"/>
    <w:rsid w:val="002F0647"/>
    <w:rsid w:val="0030006F"/>
    <w:rsid w:val="0030328F"/>
    <w:rsid w:val="00306956"/>
    <w:rsid w:val="00321F41"/>
    <w:rsid w:val="003272C9"/>
    <w:rsid w:val="00327E56"/>
    <w:rsid w:val="00334EE6"/>
    <w:rsid w:val="00335A66"/>
    <w:rsid w:val="0033749B"/>
    <w:rsid w:val="00340D2E"/>
    <w:rsid w:val="003424CC"/>
    <w:rsid w:val="003510A1"/>
    <w:rsid w:val="00353113"/>
    <w:rsid w:val="00361CBA"/>
    <w:rsid w:val="00361D0F"/>
    <w:rsid w:val="00365D79"/>
    <w:rsid w:val="00375858"/>
    <w:rsid w:val="0038188E"/>
    <w:rsid w:val="00382802"/>
    <w:rsid w:val="003837A9"/>
    <w:rsid w:val="00383CA9"/>
    <w:rsid w:val="00383D31"/>
    <w:rsid w:val="00394274"/>
    <w:rsid w:val="003A248B"/>
    <w:rsid w:val="003A6965"/>
    <w:rsid w:val="003B10C2"/>
    <w:rsid w:val="003B4785"/>
    <w:rsid w:val="003C25C1"/>
    <w:rsid w:val="003C2740"/>
    <w:rsid w:val="003C6B90"/>
    <w:rsid w:val="003D7034"/>
    <w:rsid w:val="003D7CED"/>
    <w:rsid w:val="003E103A"/>
    <w:rsid w:val="003E3901"/>
    <w:rsid w:val="003E7060"/>
    <w:rsid w:val="003F43DF"/>
    <w:rsid w:val="003F6DCB"/>
    <w:rsid w:val="004056FE"/>
    <w:rsid w:val="00405849"/>
    <w:rsid w:val="00407184"/>
    <w:rsid w:val="00411EF0"/>
    <w:rsid w:val="004222B7"/>
    <w:rsid w:val="0042286E"/>
    <w:rsid w:val="00430F0A"/>
    <w:rsid w:val="004327F4"/>
    <w:rsid w:val="0043453E"/>
    <w:rsid w:val="0044758E"/>
    <w:rsid w:val="004607D3"/>
    <w:rsid w:val="004723F2"/>
    <w:rsid w:val="00474401"/>
    <w:rsid w:val="00484201"/>
    <w:rsid w:val="00494FD4"/>
    <w:rsid w:val="00496894"/>
    <w:rsid w:val="004B1D39"/>
    <w:rsid w:val="004C22AE"/>
    <w:rsid w:val="004C52E7"/>
    <w:rsid w:val="004D2A8F"/>
    <w:rsid w:val="004E2D08"/>
    <w:rsid w:val="004E7AF9"/>
    <w:rsid w:val="004F1E8A"/>
    <w:rsid w:val="004F2ECE"/>
    <w:rsid w:val="005016BA"/>
    <w:rsid w:val="00502612"/>
    <w:rsid w:val="00502B58"/>
    <w:rsid w:val="00514D30"/>
    <w:rsid w:val="00516396"/>
    <w:rsid w:val="00517ADF"/>
    <w:rsid w:val="0052526E"/>
    <w:rsid w:val="00527CB2"/>
    <w:rsid w:val="00544699"/>
    <w:rsid w:val="0054514F"/>
    <w:rsid w:val="00545D8D"/>
    <w:rsid w:val="00550CE5"/>
    <w:rsid w:val="00555E1C"/>
    <w:rsid w:val="00561807"/>
    <w:rsid w:val="00564EB3"/>
    <w:rsid w:val="00570887"/>
    <w:rsid w:val="00573307"/>
    <w:rsid w:val="00574687"/>
    <w:rsid w:val="00583E7E"/>
    <w:rsid w:val="00590530"/>
    <w:rsid w:val="0059175F"/>
    <w:rsid w:val="00597AA1"/>
    <w:rsid w:val="005B0942"/>
    <w:rsid w:val="005B13DA"/>
    <w:rsid w:val="005B2714"/>
    <w:rsid w:val="005C3FE6"/>
    <w:rsid w:val="005C66BE"/>
    <w:rsid w:val="005D0BB2"/>
    <w:rsid w:val="005D4186"/>
    <w:rsid w:val="005E576A"/>
    <w:rsid w:val="005F0F2C"/>
    <w:rsid w:val="005F45E0"/>
    <w:rsid w:val="00600D9E"/>
    <w:rsid w:val="006037F9"/>
    <w:rsid w:val="00604E90"/>
    <w:rsid w:val="0060574D"/>
    <w:rsid w:val="006126EB"/>
    <w:rsid w:val="00614F9A"/>
    <w:rsid w:val="00623E54"/>
    <w:rsid w:val="00625210"/>
    <w:rsid w:val="00645AE7"/>
    <w:rsid w:val="0064787F"/>
    <w:rsid w:val="006550C2"/>
    <w:rsid w:val="0066245A"/>
    <w:rsid w:val="00665911"/>
    <w:rsid w:val="006719BD"/>
    <w:rsid w:val="006728AF"/>
    <w:rsid w:val="00691B86"/>
    <w:rsid w:val="00692C3D"/>
    <w:rsid w:val="006930D2"/>
    <w:rsid w:val="00693422"/>
    <w:rsid w:val="006939EF"/>
    <w:rsid w:val="00696B04"/>
    <w:rsid w:val="00696D92"/>
    <w:rsid w:val="006A5AC4"/>
    <w:rsid w:val="006C1835"/>
    <w:rsid w:val="006C3ACA"/>
    <w:rsid w:val="006C79C4"/>
    <w:rsid w:val="006D1FC1"/>
    <w:rsid w:val="006D5596"/>
    <w:rsid w:val="006E4500"/>
    <w:rsid w:val="006E4D4C"/>
    <w:rsid w:val="006E5CC4"/>
    <w:rsid w:val="006F4BC6"/>
    <w:rsid w:val="006F5731"/>
    <w:rsid w:val="006F5ACB"/>
    <w:rsid w:val="006F6829"/>
    <w:rsid w:val="0070477F"/>
    <w:rsid w:val="00704945"/>
    <w:rsid w:val="00715D9F"/>
    <w:rsid w:val="00717799"/>
    <w:rsid w:val="007276D4"/>
    <w:rsid w:val="00733072"/>
    <w:rsid w:val="00737C85"/>
    <w:rsid w:val="00740E0D"/>
    <w:rsid w:val="00741B29"/>
    <w:rsid w:val="007501C8"/>
    <w:rsid w:val="00754190"/>
    <w:rsid w:val="007628D1"/>
    <w:rsid w:val="00762C96"/>
    <w:rsid w:val="007633E8"/>
    <w:rsid w:val="00764DFA"/>
    <w:rsid w:val="00773755"/>
    <w:rsid w:val="00773FEE"/>
    <w:rsid w:val="00781715"/>
    <w:rsid w:val="00781C74"/>
    <w:rsid w:val="007A73A4"/>
    <w:rsid w:val="007B038D"/>
    <w:rsid w:val="007B2041"/>
    <w:rsid w:val="007C1D78"/>
    <w:rsid w:val="007D2A1A"/>
    <w:rsid w:val="007D70EE"/>
    <w:rsid w:val="007F2203"/>
    <w:rsid w:val="007F5EF2"/>
    <w:rsid w:val="00803552"/>
    <w:rsid w:val="008077B9"/>
    <w:rsid w:val="0082071A"/>
    <w:rsid w:val="00823242"/>
    <w:rsid w:val="00825DAF"/>
    <w:rsid w:val="00830245"/>
    <w:rsid w:val="0083477D"/>
    <w:rsid w:val="00847368"/>
    <w:rsid w:val="008474B2"/>
    <w:rsid w:val="00852160"/>
    <w:rsid w:val="00853651"/>
    <w:rsid w:val="008629EC"/>
    <w:rsid w:val="008662D8"/>
    <w:rsid w:val="00877269"/>
    <w:rsid w:val="00880D88"/>
    <w:rsid w:val="00884667"/>
    <w:rsid w:val="00890CAF"/>
    <w:rsid w:val="008916DA"/>
    <w:rsid w:val="00892741"/>
    <w:rsid w:val="00896631"/>
    <w:rsid w:val="008A2182"/>
    <w:rsid w:val="008B26E9"/>
    <w:rsid w:val="008B3B49"/>
    <w:rsid w:val="008B67E1"/>
    <w:rsid w:val="008C304A"/>
    <w:rsid w:val="008C49D1"/>
    <w:rsid w:val="008D14DE"/>
    <w:rsid w:val="008D1C12"/>
    <w:rsid w:val="008F3942"/>
    <w:rsid w:val="008F6C93"/>
    <w:rsid w:val="00923C0A"/>
    <w:rsid w:val="00925064"/>
    <w:rsid w:val="00931A2B"/>
    <w:rsid w:val="00934943"/>
    <w:rsid w:val="0093554C"/>
    <w:rsid w:val="00943F47"/>
    <w:rsid w:val="009471D4"/>
    <w:rsid w:val="0095382F"/>
    <w:rsid w:val="009547B8"/>
    <w:rsid w:val="0096593E"/>
    <w:rsid w:val="009700F9"/>
    <w:rsid w:val="00975830"/>
    <w:rsid w:val="009824B3"/>
    <w:rsid w:val="0098462A"/>
    <w:rsid w:val="00984823"/>
    <w:rsid w:val="0098608D"/>
    <w:rsid w:val="00991F87"/>
    <w:rsid w:val="00996983"/>
    <w:rsid w:val="00996E19"/>
    <w:rsid w:val="009A1471"/>
    <w:rsid w:val="009A1732"/>
    <w:rsid w:val="009B2385"/>
    <w:rsid w:val="009B4329"/>
    <w:rsid w:val="009C4C82"/>
    <w:rsid w:val="009C6E65"/>
    <w:rsid w:val="009D075D"/>
    <w:rsid w:val="009D15BF"/>
    <w:rsid w:val="009E43FD"/>
    <w:rsid w:val="009F3ABB"/>
    <w:rsid w:val="009F48BB"/>
    <w:rsid w:val="00A02BD2"/>
    <w:rsid w:val="00A034D3"/>
    <w:rsid w:val="00A048C3"/>
    <w:rsid w:val="00A11B08"/>
    <w:rsid w:val="00A1293D"/>
    <w:rsid w:val="00A20421"/>
    <w:rsid w:val="00A2168E"/>
    <w:rsid w:val="00A22F61"/>
    <w:rsid w:val="00A26E5F"/>
    <w:rsid w:val="00A31363"/>
    <w:rsid w:val="00A32AD3"/>
    <w:rsid w:val="00A458BD"/>
    <w:rsid w:val="00A50A39"/>
    <w:rsid w:val="00A5223A"/>
    <w:rsid w:val="00A5343D"/>
    <w:rsid w:val="00A547BD"/>
    <w:rsid w:val="00A57330"/>
    <w:rsid w:val="00A862EB"/>
    <w:rsid w:val="00A92C09"/>
    <w:rsid w:val="00A94B35"/>
    <w:rsid w:val="00A966F9"/>
    <w:rsid w:val="00AA1383"/>
    <w:rsid w:val="00AB170F"/>
    <w:rsid w:val="00AC1104"/>
    <w:rsid w:val="00AC5F54"/>
    <w:rsid w:val="00AD00D3"/>
    <w:rsid w:val="00AD19C9"/>
    <w:rsid w:val="00AE494B"/>
    <w:rsid w:val="00AE6DB8"/>
    <w:rsid w:val="00B0496E"/>
    <w:rsid w:val="00B146A9"/>
    <w:rsid w:val="00B16909"/>
    <w:rsid w:val="00B21FD5"/>
    <w:rsid w:val="00B31FC3"/>
    <w:rsid w:val="00B37400"/>
    <w:rsid w:val="00B411DE"/>
    <w:rsid w:val="00B42575"/>
    <w:rsid w:val="00B44ADD"/>
    <w:rsid w:val="00B456E5"/>
    <w:rsid w:val="00B56811"/>
    <w:rsid w:val="00B56941"/>
    <w:rsid w:val="00B63291"/>
    <w:rsid w:val="00B70FC1"/>
    <w:rsid w:val="00B70FDA"/>
    <w:rsid w:val="00B80CB5"/>
    <w:rsid w:val="00B81AF3"/>
    <w:rsid w:val="00B86660"/>
    <w:rsid w:val="00B87499"/>
    <w:rsid w:val="00B92639"/>
    <w:rsid w:val="00BB41C8"/>
    <w:rsid w:val="00BB48B8"/>
    <w:rsid w:val="00BC256A"/>
    <w:rsid w:val="00BC408A"/>
    <w:rsid w:val="00BC5ACF"/>
    <w:rsid w:val="00BD0FFD"/>
    <w:rsid w:val="00BD52CA"/>
    <w:rsid w:val="00BE00D3"/>
    <w:rsid w:val="00BE1760"/>
    <w:rsid w:val="00BF523E"/>
    <w:rsid w:val="00BF690D"/>
    <w:rsid w:val="00C02619"/>
    <w:rsid w:val="00C029ED"/>
    <w:rsid w:val="00C03D16"/>
    <w:rsid w:val="00C03DFE"/>
    <w:rsid w:val="00C122CF"/>
    <w:rsid w:val="00C23174"/>
    <w:rsid w:val="00C23E84"/>
    <w:rsid w:val="00C4048F"/>
    <w:rsid w:val="00C45AC6"/>
    <w:rsid w:val="00C519AB"/>
    <w:rsid w:val="00C552BB"/>
    <w:rsid w:val="00C6410C"/>
    <w:rsid w:val="00C646FB"/>
    <w:rsid w:val="00C655EC"/>
    <w:rsid w:val="00C75547"/>
    <w:rsid w:val="00C77F1D"/>
    <w:rsid w:val="00C77F3E"/>
    <w:rsid w:val="00C803C4"/>
    <w:rsid w:val="00C80AFA"/>
    <w:rsid w:val="00C91306"/>
    <w:rsid w:val="00C96E68"/>
    <w:rsid w:val="00C97719"/>
    <w:rsid w:val="00CA4E37"/>
    <w:rsid w:val="00CA6212"/>
    <w:rsid w:val="00CA7C4E"/>
    <w:rsid w:val="00CB4311"/>
    <w:rsid w:val="00CB7486"/>
    <w:rsid w:val="00CC18A0"/>
    <w:rsid w:val="00CC6581"/>
    <w:rsid w:val="00CC78DA"/>
    <w:rsid w:val="00CD70F3"/>
    <w:rsid w:val="00CE4987"/>
    <w:rsid w:val="00CF5C07"/>
    <w:rsid w:val="00CF73B2"/>
    <w:rsid w:val="00CF771C"/>
    <w:rsid w:val="00D01795"/>
    <w:rsid w:val="00D068C0"/>
    <w:rsid w:val="00D07F10"/>
    <w:rsid w:val="00D404B4"/>
    <w:rsid w:val="00D517B8"/>
    <w:rsid w:val="00D52718"/>
    <w:rsid w:val="00D6265E"/>
    <w:rsid w:val="00D6664D"/>
    <w:rsid w:val="00D670CD"/>
    <w:rsid w:val="00D76BE0"/>
    <w:rsid w:val="00D82202"/>
    <w:rsid w:val="00D90905"/>
    <w:rsid w:val="00D95984"/>
    <w:rsid w:val="00D96116"/>
    <w:rsid w:val="00D978BF"/>
    <w:rsid w:val="00DA1027"/>
    <w:rsid w:val="00DB3298"/>
    <w:rsid w:val="00DB6A25"/>
    <w:rsid w:val="00DC581B"/>
    <w:rsid w:val="00DC7297"/>
    <w:rsid w:val="00DC776A"/>
    <w:rsid w:val="00DD4845"/>
    <w:rsid w:val="00DD554B"/>
    <w:rsid w:val="00DF0FC7"/>
    <w:rsid w:val="00DF1C44"/>
    <w:rsid w:val="00DF37EB"/>
    <w:rsid w:val="00E024EB"/>
    <w:rsid w:val="00E05FB1"/>
    <w:rsid w:val="00E10476"/>
    <w:rsid w:val="00E20192"/>
    <w:rsid w:val="00E237DC"/>
    <w:rsid w:val="00E23E49"/>
    <w:rsid w:val="00E30F08"/>
    <w:rsid w:val="00E421F4"/>
    <w:rsid w:val="00E521CB"/>
    <w:rsid w:val="00E540C5"/>
    <w:rsid w:val="00E65F0B"/>
    <w:rsid w:val="00E71DD8"/>
    <w:rsid w:val="00E71E76"/>
    <w:rsid w:val="00E77A34"/>
    <w:rsid w:val="00E77F79"/>
    <w:rsid w:val="00E84A77"/>
    <w:rsid w:val="00E87A0B"/>
    <w:rsid w:val="00E960FB"/>
    <w:rsid w:val="00EA331C"/>
    <w:rsid w:val="00EA36A3"/>
    <w:rsid w:val="00EA49BC"/>
    <w:rsid w:val="00EB06AA"/>
    <w:rsid w:val="00EB092E"/>
    <w:rsid w:val="00EC3E6C"/>
    <w:rsid w:val="00EC3F90"/>
    <w:rsid w:val="00ED06B4"/>
    <w:rsid w:val="00ED582B"/>
    <w:rsid w:val="00ED6773"/>
    <w:rsid w:val="00EE4824"/>
    <w:rsid w:val="00EE4EBE"/>
    <w:rsid w:val="00EF1B01"/>
    <w:rsid w:val="00F05C99"/>
    <w:rsid w:val="00F07315"/>
    <w:rsid w:val="00F11E03"/>
    <w:rsid w:val="00F15F1B"/>
    <w:rsid w:val="00F2052D"/>
    <w:rsid w:val="00F21111"/>
    <w:rsid w:val="00F22CA2"/>
    <w:rsid w:val="00F3668D"/>
    <w:rsid w:val="00F51939"/>
    <w:rsid w:val="00F53232"/>
    <w:rsid w:val="00F65211"/>
    <w:rsid w:val="00F71166"/>
    <w:rsid w:val="00F76B88"/>
    <w:rsid w:val="00F76FEC"/>
    <w:rsid w:val="00F80A86"/>
    <w:rsid w:val="00F91015"/>
    <w:rsid w:val="00F94EC5"/>
    <w:rsid w:val="00F95154"/>
    <w:rsid w:val="00F96867"/>
    <w:rsid w:val="00FA1238"/>
    <w:rsid w:val="00FA49B9"/>
    <w:rsid w:val="00FB0466"/>
    <w:rsid w:val="00FB360D"/>
    <w:rsid w:val="00FC2613"/>
    <w:rsid w:val="00FC784A"/>
    <w:rsid w:val="00FF54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4753A"/>
  <w15:docId w15:val="{06A7A78C-7716-4166-8199-780D7F76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B58"/>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0059CF"/>
    <w:pPr>
      <w:keepNext/>
      <w:keepLines/>
      <w:spacing w:after="800" w:line="240" w:lineRule="auto"/>
      <w:outlineLvl w:val="0"/>
    </w:pPr>
    <w:rPr>
      <w:rFonts w:ascii="Calibri" w:eastAsiaTheme="majorEastAsia" w:hAnsi="Calibri" w:cs="Arial"/>
      <w:b/>
      <w:bCs/>
      <w:color w:val="6E313D"/>
      <w:sz w:val="44"/>
      <w:szCs w:val="44"/>
    </w:rPr>
  </w:style>
  <w:style w:type="paragraph" w:styleId="Heading2">
    <w:name w:val="heading 2"/>
    <w:basedOn w:val="Normal"/>
    <w:next w:val="Normal"/>
    <w:link w:val="Heading2Char"/>
    <w:uiPriority w:val="9"/>
    <w:unhideWhenUsed/>
    <w:qFormat/>
    <w:rsid w:val="00EE4E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qFormat/>
    <w:rsid w:val="00502B58"/>
    <w:pPr>
      <w:keepNext/>
      <w:keepLines/>
      <w:spacing w:before="160" w:after="80" w:line="240" w:lineRule="auto"/>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qFormat/>
    <w:rsid w:val="00502B58"/>
    <w:pPr>
      <w:keepNext/>
      <w:keepLines/>
      <w:spacing w:before="80" w:after="40" w:line="240" w:lineRule="auto"/>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qFormat/>
    <w:rsid w:val="00502B58"/>
    <w:pPr>
      <w:keepNext/>
      <w:keepLines/>
      <w:spacing w:before="80" w:after="40" w:line="240" w:lineRule="auto"/>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qFormat/>
    <w:rsid w:val="00502B58"/>
    <w:pPr>
      <w:keepNext/>
      <w:keepLines/>
      <w:spacing w:before="40" w:after="0" w:line="240"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2B58"/>
    <w:pPr>
      <w:keepNext/>
      <w:keepLines/>
      <w:spacing w:before="40" w:after="0" w:line="240"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2B58"/>
    <w:pPr>
      <w:keepNext/>
      <w:keepLines/>
      <w:spacing w:after="0" w:line="240"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2B58"/>
    <w:pPr>
      <w:keepNext/>
      <w:keepLines/>
      <w:spacing w:after="0" w:line="240"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059CF"/>
    <w:pPr>
      <w:tabs>
        <w:tab w:val="center" w:pos="4513"/>
        <w:tab w:val="right" w:pos="9026"/>
      </w:tabs>
      <w:spacing w:after="0" w:line="240" w:lineRule="auto"/>
    </w:pPr>
    <w:rPr>
      <w:rFonts w:ascii="Calibri" w:hAnsi="Calibri" w:cs="Arial"/>
    </w:rPr>
  </w:style>
  <w:style w:type="character" w:customStyle="1" w:styleId="HeaderChar">
    <w:name w:val="Header Char"/>
    <w:basedOn w:val="DefaultParagraphFont"/>
    <w:link w:val="Header"/>
    <w:uiPriority w:val="99"/>
    <w:semiHidden/>
    <w:rsid w:val="000059CF"/>
  </w:style>
  <w:style w:type="paragraph" w:styleId="Footer">
    <w:name w:val="footer"/>
    <w:basedOn w:val="Normal"/>
    <w:link w:val="FooterChar"/>
    <w:uiPriority w:val="99"/>
    <w:rsid w:val="000059CF"/>
    <w:pPr>
      <w:tabs>
        <w:tab w:val="center" w:pos="4513"/>
        <w:tab w:val="right" w:pos="9026"/>
      </w:tabs>
      <w:spacing w:after="0" w:line="240" w:lineRule="auto"/>
    </w:pPr>
    <w:rPr>
      <w:rFonts w:ascii="Calibri" w:hAnsi="Calibri" w:cs="Arial"/>
    </w:rPr>
  </w:style>
  <w:style w:type="character" w:customStyle="1" w:styleId="FooterChar">
    <w:name w:val="Footer Char"/>
    <w:basedOn w:val="DefaultParagraphFont"/>
    <w:link w:val="Footer"/>
    <w:uiPriority w:val="99"/>
    <w:rsid w:val="000059CF"/>
  </w:style>
  <w:style w:type="paragraph" w:styleId="BalloonText">
    <w:name w:val="Balloon Text"/>
    <w:basedOn w:val="Normal"/>
    <w:link w:val="BalloonTextChar"/>
    <w:uiPriority w:val="99"/>
    <w:semiHidden/>
    <w:rsid w:val="000059CF"/>
    <w:rPr>
      <w:rFonts w:ascii="Tahoma" w:hAnsi="Tahoma" w:cs="Tahoma"/>
    </w:rPr>
  </w:style>
  <w:style w:type="character" w:customStyle="1" w:styleId="BalloonTextChar">
    <w:name w:val="Balloon Text Char"/>
    <w:basedOn w:val="DefaultParagraphFont"/>
    <w:link w:val="BalloonText"/>
    <w:uiPriority w:val="99"/>
    <w:semiHidden/>
    <w:rsid w:val="000059CF"/>
    <w:rPr>
      <w:rFonts w:ascii="Tahoma" w:hAnsi="Tahoma" w:cs="Tahoma"/>
    </w:rPr>
  </w:style>
  <w:style w:type="table" w:styleId="LightList">
    <w:name w:val="Light List"/>
    <w:basedOn w:val="TableNormal"/>
    <w:uiPriority w:val="61"/>
    <w:rsid w:val="000059C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SHeading1">
    <w:name w:val="AS Heading 1"/>
    <w:next w:val="ASNormal"/>
    <w:uiPriority w:val="14"/>
    <w:qFormat/>
    <w:rsid w:val="000059CF"/>
    <w:rPr>
      <w:rFonts w:eastAsiaTheme="majorEastAsia"/>
      <w:b/>
      <w:bCs/>
      <w:sz w:val="44"/>
      <w:szCs w:val="44"/>
    </w:rPr>
  </w:style>
  <w:style w:type="table" w:styleId="TableGrid">
    <w:name w:val="Table Grid"/>
    <w:basedOn w:val="TableNormal"/>
    <w:uiPriority w:val="59"/>
    <w:rsid w:val="000059CF"/>
    <w:pPr>
      <w:spacing w:line="280" w:lineRule="atLeast"/>
    </w:pPr>
    <w:rPr>
      <w:sz w:val="24"/>
      <w:szCs w:val="24"/>
    </w:rPr>
    <w:tblPr>
      <w:tblStyleRowBandSize w:val="1"/>
      <w:tblCellSpacing w:w="28" w:type="dxa"/>
      <w:tblInd w:w="227" w:type="dxa"/>
      <w:tblCellMar>
        <w:top w:w="57" w:type="dxa"/>
        <w:left w:w="227" w:type="dxa"/>
        <w:bottom w:w="85" w:type="dxa"/>
        <w:right w:w="85" w:type="dxa"/>
      </w:tblCellMar>
    </w:tblPr>
    <w:trPr>
      <w:cantSplit/>
      <w:tblCellSpacing w:w="28" w:type="dxa"/>
    </w:trPr>
    <w:tcPr>
      <w:shd w:val="clear" w:color="auto" w:fill="F2F2F2" w:themeFill="background1" w:themeFillShade="F2"/>
    </w:tcPr>
    <w:tblStylePr w:type="firstRow">
      <w:rPr>
        <w:b w:val="0"/>
        <w:bCs w:val="0"/>
        <w:i w:val="0"/>
        <w:iCs w:val="0"/>
      </w:rPr>
      <w:tblPr/>
      <w:tcPr>
        <w:tcBorders>
          <w:top w:val="nil"/>
          <w:left w:val="nil"/>
          <w:bottom w:val="nil"/>
          <w:right w:val="nil"/>
          <w:insideH w:val="nil"/>
          <w:insideV w:val="nil"/>
          <w:tl2br w:val="nil"/>
          <w:tr2bl w:val="nil"/>
        </w:tcBorders>
        <w:shd w:val="clear" w:color="auto" w:fill="D9D9D9" w:themeFill="background1" w:themeFillShade="D9"/>
      </w:tcPr>
    </w:tblStylePr>
    <w:tblStylePr w:type="band1Horz">
      <w:rPr>
        <w:b w:val="0"/>
        <w:bCs w:val="0"/>
        <w:i w:val="0"/>
        <w:iCs w:val="0"/>
      </w:rPr>
      <w:tblPr/>
      <w:tcPr>
        <w:tcBorders>
          <w:top w:val="nil"/>
          <w:left w:val="nil"/>
          <w:bottom w:val="nil"/>
          <w:right w:val="nil"/>
          <w:insideH w:val="nil"/>
          <w:insideV w:val="nil"/>
          <w:tl2br w:val="nil"/>
          <w:tr2bl w:val="nil"/>
        </w:tcBorders>
      </w:tcPr>
    </w:tblStylePr>
    <w:tblStylePr w:type="band2Horz">
      <w:rPr>
        <w:b w:val="0"/>
        <w:bCs w:val="0"/>
        <w:i w:val="0"/>
        <w:iCs w:val="0"/>
      </w:rPr>
      <w:tblPr/>
      <w:tcPr>
        <w:tcBorders>
          <w:top w:val="nil"/>
          <w:left w:val="nil"/>
          <w:bottom w:val="nil"/>
          <w:right w:val="nil"/>
          <w:insideH w:val="nil"/>
          <w:insideV w:val="nil"/>
          <w:tl2br w:val="nil"/>
          <w:tr2bl w:val="nil"/>
        </w:tcBorders>
      </w:tcPr>
    </w:tblStylePr>
  </w:style>
  <w:style w:type="paragraph" w:customStyle="1" w:styleId="ASMainTitle1">
    <w:name w:val="AS Main Title 1"/>
    <w:basedOn w:val="Normal"/>
    <w:next w:val="ASMainTitle2"/>
    <w:uiPriority w:val="17"/>
    <w:qFormat/>
    <w:rsid w:val="000059CF"/>
    <w:pPr>
      <w:spacing w:after="40" w:line="240" w:lineRule="auto"/>
      <w:ind w:left="57"/>
    </w:pPr>
    <w:rPr>
      <w:rFonts w:ascii="Calibri" w:hAnsi="Calibri" w:cs="Arial"/>
      <w:b/>
      <w:bCs/>
      <w:sz w:val="44"/>
      <w:szCs w:val="44"/>
    </w:rPr>
  </w:style>
  <w:style w:type="paragraph" w:customStyle="1" w:styleId="ASBullets">
    <w:name w:val="AS Bullets"/>
    <w:basedOn w:val="ASNormal"/>
    <w:uiPriority w:val="12"/>
    <w:qFormat/>
    <w:rsid w:val="000059CF"/>
    <w:pPr>
      <w:numPr>
        <w:numId w:val="3"/>
      </w:numPr>
      <w:spacing w:after="200" w:line="260" w:lineRule="atLeast"/>
      <w:contextualSpacing/>
    </w:pPr>
  </w:style>
  <w:style w:type="paragraph" w:customStyle="1" w:styleId="ASFooter1">
    <w:name w:val="AS Footer 1"/>
    <w:basedOn w:val="Footer"/>
    <w:uiPriority w:val="13"/>
    <w:qFormat/>
    <w:rsid w:val="000059CF"/>
    <w:pPr>
      <w:tabs>
        <w:tab w:val="clear" w:pos="4513"/>
        <w:tab w:val="clear" w:pos="9026"/>
        <w:tab w:val="right" w:pos="9639"/>
      </w:tabs>
    </w:pPr>
    <w:rPr>
      <w:b/>
      <w:bCs/>
      <w:noProof/>
      <w:sz w:val="18"/>
      <w:szCs w:val="14"/>
      <w:lang w:eastAsia="en-GB"/>
    </w:rPr>
  </w:style>
  <w:style w:type="paragraph" w:customStyle="1" w:styleId="ASNormal">
    <w:name w:val="AS Normal"/>
    <w:basedOn w:val="Normal"/>
    <w:qFormat/>
    <w:rsid w:val="000059CF"/>
    <w:pPr>
      <w:spacing w:after="240" w:line="240" w:lineRule="auto"/>
    </w:pPr>
    <w:rPr>
      <w:rFonts w:ascii="Calibri" w:hAnsi="Calibri" w:cs="Arial"/>
      <w:szCs w:val="20"/>
    </w:rPr>
  </w:style>
  <w:style w:type="paragraph" w:styleId="ListParagraph">
    <w:name w:val="List Paragraph"/>
    <w:basedOn w:val="Normal"/>
    <w:uiPriority w:val="34"/>
    <w:qFormat/>
    <w:rsid w:val="000059CF"/>
    <w:pPr>
      <w:numPr>
        <w:numId w:val="2"/>
      </w:numPr>
      <w:spacing w:after="120" w:line="210" w:lineRule="atLeast"/>
      <w:ind w:left="454" w:hanging="454"/>
    </w:pPr>
    <w:rPr>
      <w:rFonts w:ascii="Calibri" w:hAnsi="Calibri" w:cs="Arial"/>
      <w:sz w:val="18"/>
      <w:szCs w:val="18"/>
    </w:rPr>
  </w:style>
  <w:style w:type="paragraph" w:customStyle="1" w:styleId="ASHeading2">
    <w:name w:val="AS Heading 2"/>
    <w:basedOn w:val="ASNormal"/>
    <w:next w:val="ASNormal"/>
    <w:uiPriority w:val="15"/>
    <w:qFormat/>
    <w:rsid w:val="000059CF"/>
    <w:pPr>
      <w:spacing w:after="20"/>
    </w:pPr>
    <w:rPr>
      <w:sz w:val="36"/>
      <w:szCs w:val="36"/>
    </w:rPr>
  </w:style>
  <w:style w:type="paragraph" w:customStyle="1" w:styleId="ASHeading3">
    <w:name w:val="AS Heading 3"/>
    <w:basedOn w:val="ASHeading2"/>
    <w:next w:val="ASNormal"/>
    <w:uiPriority w:val="16"/>
    <w:qFormat/>
    <w:rsid w:val="000059CF"/>
    <w:pPr>
      <w:spacing w:before="180" w:after="100"/>
    </w:pPr>
    <w:rPr>
      <w:sz w:val="26"/>
      <w:szCs w:val="26"/>
    </w:rPr>
  </w:style>
  <w:style w:type="paragraph" w:customStyle="1" w:styleId="ASNormalBold">
    <w:name w:val="AS Normal (Bold)"/>
    <w:basedOn w:val="ASNormal"/>
    <w:uiPriority w:val="1"/>
    <w:qFormat/>
    <w:rsid w:val="000059CF"/>
    <w:rPr>
      <w:b/>
      <w:bCs/>
    </w:rPr>
  </w:style>
  <w:style w:type="paragraph" w:customStyle="1" w:styleId="ASMainTitle2">
    <w:name w:val="AS Main Title 2"/>
    <w:basedOn w:val="Normal"/>
    <w:next w:val="Normal"/>
    <w:uiPriority w:val="18"/>
    <w:qFormat/>
    <w:rsid w:val="000059CF"/>
    <w:pPr>
      <w:spacing w:after="0" w:line="240" w:lineRule="auto"/>
      <w:ind w:left="57"/>
    </w:pPr>
    <w:rPr>
      <w:rFonts w:ascii="Calibri" w:hAnsi="Calibri" w:cs="Arial"/>
      <w:b/>
      <w:bCs/>
      <w:sz w:val="32"/>
      <w:szCs w:val="32"/>
    </w:rPr>
  </w:style>
  <w:style w:type="paragraph" w:customStyle="1" w:styleId="ASMainTitle3">
    <w:name w:val="AS Main Title 3"/>
    <w:basedOn w:val="Normal"/>
    <w:uiPriority w:val="19"/>
    <w:qFormat/>
    <w:rsid w:val="000059CF"/>
    <w:pPr>
      <w:spacing w:after="0" w:line="240" w:lineRule="auto"/>
      <w:ind w:left="57"/>
      <w:contextualSpacing/>
    </w:pPr>
    <w:rPr>
      <w:rFonts w:ascii="Calibri" w:hAnsi="Calibri" w:cs="Arial"/>
      <w:sz w:val="32"/>
      <w:szCs w:val="32"/>
    </w:rPr>
  </w:style>
  <w:style w:type="paragraph" w:styleId="FootnoteText">
    <w:name w:val="footnote text"/>
    <w:aliases w:val="AS Footnote Text"/>
    <w:basedOn w:val="ASNormal"/>
    <w:link w:val="FootnoteTextChar"/>
    <w:uiPriority w:val="99"/>
    <w:semiHidden/>
    <w:rsid w:val="000059CF"/>
    <w:rPr>
      <w:sz w:val="18"/>
    </w:rPr>
  </w:style>
  <w:style w:type="character" w:customStyle="1" w:styleId="FootnoteTextChar">
    <w:name w:val="Footnote Text Char"/>
    <w:aliases w:val="AS Footnote Text Char"/>
    <w:basedOn w:val="DefaultParagraphFont"/>
    <w:link w:val="FootnoteText"/>
    <w:uiPriority w:val="99"/>
    <w:semiHidden/>
    <w:rsid w:val="000059CF"/>
    <w:rPr>
      <w:sz w:val="18"/>
      <w:szCs w:val="20"/>
    </w:rPr>
  </w:style>
  <w:style w:type="character" w:styleId="FootnoteReference">
    <w:name w:val="footnote reference"/>
    <w:basedOn w:val="DefaultParagraphFont"/>
    <w:uiPriority w:val="99"/>
    <w:semiHidden/>
    <w:rsid w:val="000059CF"/>
    <w:rPr>
      <w:vertAlign w:val="superscript"/>
    </w:rPr>
  </w:style>
  <w:style w:type="paragraph" w:styleId="TOC1">
    <w:name w:val="toc 1"/>
    <w:basedOn w:val="Normal"/>
    <w:next w:val="Normal"/>
    <w:autoRedefine/>
    <w:uiPriority w:val="39"/>
    <w:rsid w:val="000059CF"/>
    <w:pPr>
      <w:tabs>
        <w:tab w:val="right" w:leader="dot" w:pos="9639"/>
      </w:tabs>
      <w:spacing w:after="100" w:line="240" w:lineRule="auto"/>
      <w:ind w:right="112"/>
    </w:pPr>
    <w:rPr>
      <w:rFonts w:ascii="Calibri" w:hAnsi="Calibri" w:cs="Arial"/>
      <w:b/>
      <w:bCs/>
      <w:sz w:val="24"/>
      <w:szCs w:val="24"/>
    </w:rPr>
  </w:style>
  <w:style w:type="table" w:customStyle="1" w:styleId="ASFiguresTable">
    <w:name w:val="AS Figures Table"/>
    <w:basedOn w:val="TableNormal"/>
    <w:uiPriority w:val="99"/>
    <w:qFormat/>
    <w:rsid w:val="000059CF"/>
    <w:tblPr>
      <w:tblStyleRowBandSize w:val="1"/>
      <w:tblInd w:w="227" w:type="dxa"/>
      <w:tblCellMar>
        <w:top w:w="85" w:type="dxa"/>
        <w:left w:w="198" w:type="dxa"/>
        <w:bottom w:w="85" w:type="dxa"/>
        <w:right w:w="85" w:type="dxa"/>
      </w:tblCellMar>
    </w:tblPr>
    <w:tblStylePr w:type="firstRow">
      <w:tblPr/>
      <w:tcPr>
        <w:tcBorders>
          <w:top w:val="nil"/>
          <w:left w:val="nil"/>
          <w:bottom w:val="nil"/>
          <w:right w:val="nil"/>
          <w:insideH w:val="nil"/>
          <w:insideV w:val="nil"/>
          <w:tl2br w:val="nil"/>
          <w:tr2bl w:val="nil"/>
        </w:tcBorders>
        <w:shd w:val="clear" w:color="auto" w:fill="D9D9D9" w:themeFill="background1" w:themeFillShade="D9"/>
      </w:tcPr>
    </w:tblStylePr>
    <w:tblStylePr w:type="lastCol">
      <w:pPr>
        <w:wordWrap/>
        <w:jc w:val="right"/>
      </w:p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table" w:customStyle="1" w:styleId="ASTextBoxesTable">
    <w:name w:val="AS Text Boxes Table"/>
    <w:basedOn w:val="TableNormal"/>
    <w:uiPriority w:val="99"/>
    <w:qFormat/>
    <w:rsid w:val="000059CF"/>
    <w:tblPr>
      <w:tblCellSpacing w:w="28" w:type="dxa"/>
      <w:tblInd w:w="227" w:type="dxa"/>
      <w:tblCellMar>
        <w:top w:w="57" w:type="dxa"/>
        <w:left w:w="227" w:type="dxa"/>
        <w:bottom w:w="85" w:type="dxa"/>
        <w:right w:w="85" w:type="dxa"/>
      </w:tblCellMar>
    </w:tblPr>
    <w:trPr>
      <w:tblCellSpacing w:w="28" w:type="dxa"/>
    </w:tr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D9D9D9" w:themeFill="background1" w:themeFillShade="D9"/>
      </w:tcPr>
    </w:tblStylePr>
  </w:style>
  <w:style w:type="paragraph" w:customStyle="1" w:styleId="ASNormalLarge">
    <w:name w:val="AS Normal (Large)"/>
    <w:basedOn w:val="ASNormal"/>
    <w:uiPriority w:val="2"/>
    <w:qFormat/>
    <w:rsid w:val="000059CF"/>
    <w:pPr>
      <w:spacing w:after="200"/>
      <w:contextualSpacing/>
    </w:pPr>
    <w:rPr>
      <w:sz w:val="24"/>
      <w:szCs w:val="24"/>
    </w:rPr>
  </w:style>
  <w:style w:type="paragraph" w:customStyle="1" w:styleId="ASNumberedLevel1">
    <w:name w:val="AS Numbered (Level 1)"/>
    <w:basedOn w:val="ASNormal"/>
    <w:uiPriority w:val="3"/>
    <w:qFormat/>
    <w:rsid w:val="000059CF"/>
    <w:pPr>
      <w:numPr>
        <w:numId w:val="5"/>
      </w:numPr>
      <w:spacing w:before="240"/>
      <w:ind w:left="567" w:hanging="567"/>
      <w:outlineLvl w:val="0"/>
    </w:pPr>
    <w:rPr>
      <w:szCs w:val="22"/>
    </w:rPr>
  </w:style>
  <w:style w:type="paragraph" w:customStyle="1" w:styleId="ASNumberedLevel2">
    <w:name w:val="AS Numbered (Level 2)"/>
    <w:basedOn w:val="ASNormal"/>
    <w:uiPriority w:val="4"/>
    <w:rsid w:val="000059CF"/>
    <w:pPr>
      <w:numPr>
        <w:ilvl w:val="1"/>
        <w:numId w:val="5"/>
      </w:numPr>
      <w:tabs>
        <w:tab w:val="left" w:pos="1276"/>
      </w:tabs>
      <w:ind w:left="1276" w:hanging="709"/>
      <w:outlineLvl w:val="1"/>
    </w:pPr>
    <w:rPr>
      <w:szCs w:val="22"/>
    </w:rPr>
  </w:style>
  <w:style w:type="paragraph" w:customStyle="1" w:styleId="ASNumberedLevel3">
    <w:name w:val="AS Numbered (Level 3)"/>
    <w:basedOn w:val="ASNormal"/>
    <w:uiPriority w:val="5"/>
    <w:rsid w:val="000059CF"/>
    <w:pPr>
      <w:numPr>
        <w:ilvl w:val="2"/>
        <w:numId w:val="5"/>
      </w:numPr>
      <w:tabs>
        <w:tab w:val="left" w:pos="2127"/>
      </w:tabs>
      <w:ind w:left="2127" w:hanging="851"/>
      <w:outlineLvl w:val="2"/>
    </w:pPr>
    <w:rPr>
      <w:szCs w:val="22"/>
    </w:rPr>
  </w:style>
  <w:style w:type="character" w:customStyle="1" w:styleId="Heading1Char">
    <w:name w:val="Heading 1 Char"/>
    <w:basedOn w:val="DefaultParagraphFont"/>
    <w:link w:val="Heading1"/>
    <w:uiPriority w:val="9"/>
    <w:rsid w:val="000059CF"/>
    <w:rPr>
      <w:rFonts w:eastAsiaTheme="majorEastAsia"/>
      <w:b/>
      <w:bCs/>
      <w:color w:val="6E313D"/>
      <w:sz w:val="44"/>
      <w:szCs w:val="44"/>
    </w:rPr>
  </w:style>
  <w:style w:type="paragraph" w:customStyle="1" w:styleId="ASPreambleLettering">
    <w:name w:val="AS Preamble Lettering"/>
    <w:basedOn w:val="ASNormalLarge"/>
    <w:uiPriority w:val="10"/>
    <w:qFormat/>
    <w:rsid w:val="000059CF"/>
    <w:pPr>
      <w:numPr>
        <w:numId w:val="4"/>
      </w:numPr>
      <w:spacing w:before="240" w:after="240"/>
    </w:pPr>
  </w:style>
  <w:style w:type="paragraph" w:customStyle="1" w:styleId="ASNumberedLevel4">
    <w:name w:val="AS Numbered (Level 4)"/>
    <w:basedOn w:val="ASNormal"/>
    <w:uiPriority w:val="6"/>
    <w:rsid w:val="000059CF"/>
    <w:pPr>
      <w:numPr>
        <w:ilvl w:val="3"/>
        <w:numId w:val="5"/>
      </w:numPr>
      <w:tabs>
        <w:tab w:val="left" w:pos="3119"/>
      </w:tabs>
      <w:ind w:left="3119" w:hanging="992"/>
      <w:outlineLvl w:val="3"/>
    </w:pPr>
  </w:style>
  <w:style w:type="paragraph" w:customStyle="1" w:styleId="ASNumberedLevel5">
    <w:name w:val="AS Numbered (Level 5)"/>
    <w:basedOn w:val="ASNormal"/>
    <w:uiPriority w:val="7"/>
    <w:rsid w:val="000059CF"/>
    <w:pPr>
      <w:numPr>
        <w:ilvl w:val="4"/>
        <w:numId w:val="5"/>
      </w:numPr>
      <w:ind w:left="4253" w:hanging="1134"/>
      <w:outlineLvl w:val="4"/>
    </w:pPr>
  </w:style>
  <w:style w:type="paragraph" w:customStyle="1" w:styleId="ASSchedule">
    <w:name w:val="AS Schedule"/>
    <w:basedOn w:val="ASNormalBold"/>
    <w:next w:val="ASNormal"/>
    <w:uiPriority w:val="11"/>
    <w:qFormat/>
    <w:rsid w:val="000059CF"/>
    <w:pPr>
      <w:pageBreakBefore/>
    </w:pPr>
  </w:style>
  <w:style w:type="paragraph" w:customStyle="1" w:styleId="ASNumberedBOLDLevel1">
    <w:name w:val="AS Numbered (BOLD Level 1)"/>
    <w:basedOn w:val="ASNumberedLevel1"/>
    <w:next w:val="ASNormaluseunderBOLDLevel1"/>
    <w:uiPriority w:val="8"/>
    <w:qFormat/>
    <w:rsid w:val="000059CF"/>
    <w:rPr>
      <w:b/>
    </w:rPr>
  </w:style>
  <w:style w:type="paragraph" w:customStyle="1" w:styleId="ASNormaluseunderBOLDLevel1">
    <w:name w:val="AS Normal (use under BOLD Level 1)"/>
    <w:basedOn w:val="ASNormal"/>
    <w:uiPriority w:val="9"/>
    <w:qFormat/>
    <w:rsid w:val="000059CF"/>
    <w:pPr>
      <w:ind w:left="567"/>
    </w:pPr>
  </w:style>
  <w:style w:type="paragraph" w:customStyle="1" w:styleId="ASNumberedLevel6">
    <w:name w:val="AS Numbered (Level 6)"/>
    <w:basedOn w:val="ASNumberedLevel5"/>
    <w:uiPriority w:val="7"/>
    <w:rsid w:val="009C6E65"/>
    <w:pPr>
      <w:numPr>
        <w:ilvl w:val="5"/>
        <w:numId w:val="1"/>
      </w:numPr>
      <w:ind w:left="5529" w:hanging="1276"/>
    </w:pPr>
  </w:style>
  <w:style w:type="paragraph" w:customStyle="1" w:styleId="ASFooterWebAddress">
    <w:name w:val="AS Footer (Web Address)"/>
    <w:basedOn w:val="ASFooter1"/>
    <w:rsid w:val="00CB7486"/>
    <w:pPr>
      <w:spacing w:after="500"/>
      <w:ind w:left="992"/>
    </w:pPr>
    <w:rPr>
      <w:szCs w:val="18"/>
    </w:rPr>
  </w:style>
  <w:style w:type="character" w:customStyle="1" w:styleId="Heading2Char">
    <w:name w:val="Heading 2 Char"/>
    <w:basedOn w:val="DefaultParagraphFont"/>
    <w:link w:val="Heading2"/>
    <w:uiPriority w:val="9"/>
    <w:rsid w:val="00EE4EB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E4EBE"/>
    <w:rPr>
      <w:color w:val="0000FF" w:themeColor="hyperlink"/>
      <w:u w:val="single"/>
    </w:rPr>
  </w:style>
  <w:style w:type="character" w:customStyle="1" w:styleId="Heading3Char">
    <w:name w:val="Heading 3 Char"/>
    <w:basedOn w:val="DefaultParagraphFont"/>
    <w:link w:val="Heading3"/>
    <w:uiPriority w:val="9"/>
    <w:semiHidden/>
    <w:rsid w:val="00502B58"/>
    <w:rPr>
      <w:rFonts w:asciiTheme="minorHAnsi" w:eastAsiaTheme="majorEastAsia" w:hAnsiTheme="min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02B58"/>
    <w:rPr>
      <w:rFonts w:asciiTheme="minorHAnsi" w:eastAsiaTheme="majorEastAsia" w:hAnsiTheme="minorHAnsi" w:cstheme="majorBidi"/>
      <w:i/>
      <w:iCs/>
      <w:color w:val="365F91" w:themeColor="accent1" w:themeShade="BF"/>
    </w:rPr>
  </w:style>
  <w:style w:type="character" w:customStyle="1" w:styleId="Heading5Char">
    <w:name w:val="Heading 5 Char"/>
    <w:basedOn w:val="DefaultParagraphFont"/>
    <w:link w:val="Heading5"/>
    <w:uiPriority w:val="9"/>
    <w:semiHidden/>
    <w:rsid w:val="00502B58"/>
    <w:rPr>
      <w:rFonts w:asciiTheme="minorHAnsi" w:eastAsiaTheme="majorEastAsia" w:hAnsiTheme="minorHAnsi" w:cstheme="majorBidi"/>
      <w:color w:val="365F91" w:themeColor="accent1" w:themeShade="BF"/>
    </w:rPr>
  </w:style>
  <w:style w:type="character" w:customStyle="1" w:styleId="Heading6Char">
    <w:name w:val="Heading 6 Char"/>
    <w:basedOn w:val="DefaultParagraphFont"/>
    <w:link w:val="Heading6"/>
    <w:uiPriority w:val="9"/>
    <w:semiHidden/>
    <w:rsid w:val="00502B5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02B5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02B5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02B5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02B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B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qFormat/>
    <w:rsid w:val="00502B58"/>
    <w:pPr>
      <w:numPr>
        <w:ilvl w:val="1"/>
      </w:numPr>
      <w:spacing w:line="240"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semiHidden/>
    <w:rsid w:val="00502B5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02B58"/>
    <w:pPr>
      <w:spacing w:before="160" w:line="240" w:lineRule="auto"/>
      <w:jc w:val="center"/>
    </w:pPr>
    <w:rPr>
      <w:rFonts w:ascii="Calibri" w:hAnsi="Calibri" w:cs="Arial"/>
      <w:i/>
      <w:iCs/>
      <w:color w:val="404040" w:themeColor="text1" w:themeTint="BF"/>
    </w:rPr>
  </w:style>
  <w:style w:type="character" w:customStyle="1" w:styleId="QuoteChar">
    <w:name w:val="Quote Char"/>
    <w:basedOn w:val="DefaultParagraphFont"/>
    <w:link w:val="Quote"/>
    <w:uiPriority w:val="29"/>
    <w:rsid w:val="00502B58"/>
    <w:rPr>
      <w:i/>
      <w:iCs/>
      <w:color w:val="404040" w:themeColor="text1" w:themeTint="BF"/>
    </w:rPr>
  </w:style>
  <w:style w:type="character" w:styleId="IntenseEmphasis">
    <w:name w:val="Intense Emphasis"/>
    <w:basedOn w:val="DefaultParagraphFont"/>
    <w:uiPriority w:val="21"/>
    <w:qFormat/>
    <w:rsid w:val="00502B58"/>
    <w:rPr>
      <w:i/>
      <w:iCs/>
      <w:color w:val="365F91" w:themeColor="accent1" w:themeShade="BF"/>
    </w:rPr>
  </w:style>
  <w:style w:type="paragraph" w:styleId="IntenseQuote">
    <w:name w:val="Intense Quote"/>
    <w:basedOn w:val="Normal"/>
    <w:next w:val="Normal"/>
    <w:link w:val="IntenseQuoteChar"/>
    <w:uiPriority w:val="30"/>
    <w:qFormat/>
    <w:rsid w:val="00502B58"/>
    <w:pPr>
      <w:pBdr>
        <w:top w:val="single" w:sz="4" w:space="10" w:color="365F91" w:themeColor="accent1" w:themeShade="BF"/>
        <w:bottom w:val="single" w:sz="4" w:space="10" w:color="365F91" w:themeColor="accent1" w:themeShade="BF"/>
      </w:pBdr>
      <w:spacing w:before="360" w:after="360" w:line="240" w:lineRule="auto"/>
      <w:ind w:left="864" w:right="864"/>
      <w:jc w:val="center"/>
    </w:pPr>
    <w:rPr>
      <w:rFonts w:ascii="Calibri" w:hAnsi="Calibri" w:cs="Arial"/>
      <w:i/>
      <w:iCs/>
      <w:color w:val="365F91" w:themeColor="accent1" w:themeShade="BF"/>
    </w:rPr>
  </w:style>
  <w:style w:type="character" w:customStyle="1" w:styleId="IntenseQuoteChar">
    <w:name w:val="Intense Quote Char"/>
    <w:basedOn w:val="DefaultParagraphFont"/>
    <w:link w:val="IntenseQuote"/>
    <w:uiPriority w:val="30"/>
    <w:rsid w:val="00502B58"/>
    <w:rPr>
      <w:i/>
      <w:iCs/>
      <w:color w:val="365F91" w:themeColor="accent1" w:themeShade="BF"/>
    </w:rPr>
  </w:style>
  <w:style w:type="character" w:styleId="IntenseReference">
    <w:name w:val="Intense Reference"/>
    <w:basedOn w:val="DefaultParagraphFont"/>
    <w:uiPriority w:val="32"/>
    <w:qFormat/>
    <w:rsid w:val="00502B58"/>
    <w:rPr>
      <w:b/>
      <w:bCs/>
      <w:smallCaps/>
      <w:color w:val="365F91" w:themeColor="accent1" w:themeShade="BF"/>
      <w:spacing w:val="5"/>
    </w:rPr>
  </w:style>
  <w:style w:type="paragraph" w:customStyle="1" w:styleId="xmsonormal">
    <w:name w:val="x_msonormal"/>
    <w:basedOn w:val="Normal"/>
    <w:rsid w:val="002446E0"/>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64EB3"/>
    <w:rPr>
      <w:color w:val="605E5C"/>
      <w:shd w:val="clear" w:color="auto" w:fill="E1DFDD"/>
    </w:rPr>
  </w:style>
  <w:style w:type="paragraph" w:styleId="EndnoteText">
    <w:name w:val="endnote text"/>
    <w:basedOn w:val="Normal"/>
    <w:link w:val="EndnoteTextChar"/>
    <w:uiPriority w:val="99"/>
    <w:semiHidden/>
    <w:unhideWhenUsed/>
    <w:rsid w:val="007C1D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1D78"/>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7C1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5619">
      <w:bodyDiv w:val="1"/>
      <w:marLeft w:val="0"/>
      <w:marRight w:val="0"/>
      <w:marTop w:val="0"/>
      <w:marBottom w:val="0"/>
      <w:divBdr>
        <w:top w:val="none" w:sz="0" w:space="0" w:color="auto"/>
        <w:left w:val="none" w:sz="0" w:space="0" w:color="auto"/>
        <w:bottom w:val="none" w:sz="0" w:space="0" w:color="auto"/>
        <w:right w:val="none" w:sz="0" w:space="0" w:color="auto"/>
      </w:divBdr>
    </w:div>
    <w:div w:id="150298835">
      <w:bodyDiv w:val="1"/>
      <w:marLeft w:val="0"/>
      <w:marRight w:val="0"/>
      <w:marTop w:val="0"/>
      <w:marBottom w:val="0"/>
      <w:divBdr>
        <w:top w:val="none" w:sz="0" w:space="0" w:color="auto"/>
        <w:left w:val="none" w:sz="0" w:space="0" w:color="auto"/>
        <w:bottom w:val="none" w:sz="0" w:space="0" w:color="auto"/>
        <w:right w:val="none" w:sz="0" w:space="0" w:color="auto"/>
      </w:divBdr>
    </w:div>
    <w:div w:id="196889567">
      <w:bodyDiv w:val="1"/>
      <w:marLeft w:val="0"/>
      <w:marRight w:val="0"/>
      <w:marTop w:val="0"/>
      <w:marBottom w:val="0"/>
      <w:divBdr>
        <w:top w:val="none" w:sz="0" w:space="0" w:color="auto"/>
        <w:left w:val="none" w:sz="0" w:space="0" w:color="auto"/>
        <w:bottom w:val="none" w:sz="0" w:space="0" w:color="auto"/>
        <w:right w:val="none" w:sz="0" w:space="0" w:color="auto"/>
      </w:divBdr>
    </w:div>
    <w:div w:id="827749636">
      <w:bodyDiv w:val="1"/>
      <w:marLeft w:val="0"/>
      <w:marRight w:val="0"/>
      <w:marTop w:val="0"/>
      <w:marBottom w:val="0"/>
      <w:divBdr>
        <w:top w:val="none" w:sz="0" w:space="0" w:color="auto"/>
        <w:left w:val="none" w:sz="0" w:space="0" w:color="auto"/>
        <w:bottom w:val="none" w:sz="0" w:space="0" w:color="auto"/>
        <w:right w:val="none" w:sz="0" w:space="0" w:color="auto"/>
      </w:divBdr>
    </w:div>
    <w:div w:id="1199275708">
      <w:bodyDiv w:val="1"/>
      <w:marLeft w:val="0"/>
      <w:marRight w:val="0"/>
      <w:marTop w:val="0"/>
      <w:marBottom w:val="0"/>
      <w:divBdr>
        <w:top w:val="none" w:sz="0" w:space="0" w:color="auto"/>
        <w:left w:val="none" w:sz="0" w:space="0" w:color="auto"/>
        <w:bottom w:val="none" w:sz="0" w:space="0" w:color="auto"/>
        <w:right w:val="none" w:sz="0" w:space="0" w:color="auto"/>
      </w:divBdr>
    </w:div>
    <w:div w:id="1231496890">
      <w:bodyDiv w:val="1"/>
      <w:marLeft w:val="0"/>
      <w:marRight w:val="0"/>
      <w:marTop w:val="0"/>
      <w:marBottom w:val="0"/>
      <w:divBdr>
        <w:top w:val="none" w:sz="0" w:space="0" w:color="auto"/>
        <w:left w:val="none" w:sz="0" w:space="0" w:color="auto"/>
        <w:bottom w:val="none" w:sz="0" w:space="0" w:color="auto"/>
        <w:right w:val="none" w:sz="0" w:space="0" w:color="auto"/>
      </w:divBdr>
    </w:div>
    <w:div w:id="1961719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4044</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Company/>
  <LinksUpToDate>false</LinksUpToDate>
  <CharactersWithSpaces>27041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2024-02-05T15:00:00Z</dcterms:created>
  <dcterms:modified xsi:type="dcterms:W3CDTF">2024-02-05T15:00:00Z</dcterms:modified>
</cp:coreProperties>
</file>